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bCs/>
          <w:sz w:val="48"/>
          <w:szCs w:val="48"/>
        </w:rPr>
      </w:pPr>
    </w:p>
    <w:p>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2026年度江碧环保科技创新产业园-工业废水集中处理厂废水处理普</w:t>
      </w:r>
      <w:bookmarkStart w:id="532" w:name="_GoBack"/>
      <w:bookmarkEnd w:id="532"/>
      <w:r>
        <w:rPr>
          <w:rFonts w:hint="eastAsia" w:ascii="宋体" w:hAnsi="宋体"/>
          <w:b/>
          <w:bCs/>
          <w:sz w:val="48"/>
          <w:szCs w:val="48"/>
          <w:lang w:eastAsia="zh-CN"/>
        </w:rPr>
        <w:t>通药剂采购项目（第二次）</w:t>
      </w:r>
    </w:p>
    <w:p>
      <w:pPr>
        <w:snapToGrid w:val="0"/>
        <w:spacing w:line="300" w:lineRule="auto"/>
        <w:jc w:val="center"/>
        <w:rPr>
          <w:rFonts w:ascii="黑体" w:eastAsia="黑体"/>
          <w:sz w:val="52"/>
          <w:u w:val="single"/>
        </w:rPr>
      </w:pPr>
    </w:p>
    <w:p>
      <w:pPr>
        <w:snapToGrid w:val="0"/>
        <w:spacing w:line="300" w:lineRule="auto"/>
        <w:jc w:val="center"/>
        <w:rPr>
          <w:rFonts w:ascii="黑体" w:eastAsia="黑体"/>
          <w:sz w:val="52"/>
          <w:u w:val="single"/>
        </w:rPr>
      </w:pPr>
    </w:p>
    <w:p>
      <w:pPr>
        <w:snapToGrid w:val="0"/>
        <w:spacing w:line="300" w:lineRule="auto"/>
        <w:jc w:val="center"/>
        <w:rPr>
          <w:rFonts w:ascii="黑体" w:eastAsia="黑体"/>
          <w:sz w:val="52"/>
          <w:u w:val="single"/>
        </w:rPr>
      </w:pPr>
    </w:p>
    <w:p>
      <w:pPr>
        <w:snapToGrid w:val="0"/>
        <w:spacing w:line="300" w:lineRule="auto"/>
        <w:jc w:val="center"/>
        <w:rPr>
          <w:rFonts w:ascii="楷体_GB2312"/>
          <w:b/>
          <w:spacing w:val="26"/>
          <w:sz w:val="96"/>
        </w:rPr>
      </w:pPr>
      <w:r>
        <w:rPr>
          <w:rFonts w:hint="eastAsia" w:ascii="楷体_GB2312"/>
          <w:b/>
          <w:spacing w:val="26"/>
          <w:sz w:val="96"/>
        </w:rPr>
        <w:t>招标文件</w:t>
      </w:r>
    </w:p>
    <w:p>
      <w:pPr>
        <w:spacing w:before="260" w:after="260"/>
        <w:jc w:val="center"/>
        <w:rPr>
          <w:b/>
          <w:sz w:val="36"/>
        </w:rPr>
      </w:pPr>
    </w:p>
    <w:p>
      <w:pPr>
        <w:snapToGrid w:val="0"/>
        <w:spacing w:line="300" w:lineRule="auto"/>
        <w:jc w:val="center"/>
        <w:rPr>
          <w:rFonts w:ascii="楷体_GB2312"/>
          <w:b/>
          <w:spacing w:val="26"/>
          <w:sz w:val="52"/>
        </w:rPr>
      </w:pPr>
    </w:p>
    <w:p>
      <w:pPr>
        <w:snapToGrid w:val="0"/>
        <w:spacing w:line="300" w:lineRule="auto"/>
        <w:jc w:val="center"/>
        <w:rPr>
          <w:rFonts w:ascii="楷体_GB2312"/>
          <w:b/>
          <w:spacing w:val="26"/>
          <w:sz w:val="52"/>
        </w:rPr>
      </w:pPr>
    </w:p>
    <w:p>
      <w:pPr>
        <w:spacing w:line="600" w:lineRule="exact"/>
        <w:jc w:val="center"/>
        <w:rPr>
          <w:rFonts w:ascii="宋体" w:hAnsi="宋体"/>
          <w:b/>
          <w:spacing w:val="40"/>
          <w:sz w:val="32"/>
          <w:szCs w:val="32"/>
        </w:rPr>
      </w:pPr>
      <w:r>
        <w:rPr>
          <w:rFonts w:hint="eastAsia" w:ascii="宋体" w:hAnsi="宋体"/>
          <w:b/>
          <w:spacing w:val="40"/>
          <w:sz w:val="32"/>
          <w:szCs w:val="32"/>
        </w:rPr>
        <w:t>招标</w:t>
      </w:r>
      <w:r>
        <w:rPr>
          <w:rFonts w:ascii="宋体" w:hAnsi="宋体"/>
          <w:b/>
          <w:spacing w:val="40"/>
          <w:sz w:val="32"/>
          <w:szCs w:val="32"/>
        </w:rPr>
        <w:t>人</w:t>
      </w:r>
      <w:r>
        <w:rPr>
          <w:rFonts w:hint="eastAsia" w:ascii="宋体" w:hAnsi="宋体"/>
          <w:b/>
          <w:spacing w:val="40"/>
          <w:sz w:val="32"/>
          <w:szCs w:val="32"/>
        </w:rPr>
        <w:t xml:space="preserve">：深圳市宝安湾环境科技发展有限公司 </w:t>
      </w:r>
    </w:p>
    <w:p>
      <w:pPr>
        <w:spacing w:line="600" w:lineRule="exact"/>
        <w:jc w:val="left"/>
        <w:rPr>
          <w:rFonts w:ascii="宋体" w:hAnsi="宋体"/>
          <w:b/>
          <w:spacing w:val="40"/>
          <w:sz w:val="32"/>
          <w:szCs w:val="32"/>
        </w:rPr>
      </w:pPr>
      <w:r>
        <w:rPr>
          <w:rFonts w:hint="eastAsia" w:ascii="宋体" w:hAnsi="宋体"/>
          <w:b/>
          <w:spacing w:val="40"/>
          <w:sz w:val="32"/>
          <w:szCs w:val="32"/>
        </w:rPr>
        <w:t>招标</w:t>
      </w:r>
      <w:r>
        <w:rPr>
          <w:rFonts w:ascii="宋体" w:hAnsi="宋体"/>
          <w:b/>
          <w:spacing w:val="40"/>
          <w:sz w:val="32"/>
          <w:szCs w:val="32"/>
        </w:rPr>
        <w:t>代理机构：</w:t>
      </w:r>
      <w:r>
        <w:rPr>
          <w:rFonts w:hint="eastAsia" w:ascii="宋体" w:hAnsi="宋体"/>
          <w:b/>
          <w:spacing w:val="40"/>
          <w:sz w:val="32"/>
          <w:szCs w:val="32"/>
        </w:rPr>
        <w:t>广东省机电设备招标有限公司</w:t>
      </w:r>
    </w:p>
    <w:p>
      <w:pPr>
        <w:spacing w:line="600" w:lineRule="exact"/>
        <w:jc w:val="center"/>
        <w:rPr>
          <w:rFonts w:ascii="宋体" w:hAnsi="宋体"/>
          <w:b/>
          <w:spacing w:val="40"/>
          <w:sz w:val="32"/>
          <w:szCs w:val="32"/>
        </w:rPr>
      </w:pPr>
    </w:p>
    <w:p>
      <w:pPr>
        <w:spacing w:line="600" w:lineRule="exact"/>
        <w:jc w:val="center"/>
        <w:rPr>
          <w:rFonts w:ascii="宋体"/>
          <w:b/>
          <w:spacing w:val="40"/>
          <w:sz w:val="36"/>
          <w:highlight w:val="none"/>
        </w:rPr>
      </w:pPr>
      <w:r>
        <w:rPr>
          <w:rFonts w:hint="eastAsia" w:ascii="宋体" w:hAnsi="宋体"/>
          <w:b/>
          <w:spacing w:val="40"/>
          <w:sz w:val="32"/>
          <w:szCs w:val="32"/>
          <w:highlight w:val="none"/>
        </w:rPr>
        <w:t>二〇二</w:t>
      </w:r>
      <w:r>
        <w:rPr>
          <w:rFonts w:hint="eastAsia" w:ascii="宋体" w:hAnsi="宋体"/>
          <w:b/>
          <w:spacing w:val="40"/>
          <w:sz w:val="32"/>
          <w:szCs w:val="32"/>
          <w:highlight w:val="none"/>
          <w:lang w:val="en-US" w:eastAsia="zh-CN"/>
        </w:rPr>
        <w:t>六</w:t>
      </w:r>
      <w:r>
        <w:rPr>
          <w:rFonts w:hint="eastAsia" w:ascii="宋体" w:hAnsi="宋体"/>
          <w:b/>
          <w:spacing w:val="40"/>
          <w:sz w:val="32"/>
          <w:szCs w:val="32"/>
          <w:highlight w:val="none"/>
        </w:rPr>
        <w:t>年</w:t>
      </w:r>
      <w:r>
        <w:rPr>
          <w:rFonts w:hint="eastAsia" w:ascii="宋体" w:hAnsi="宋体"/>
          <w:b/>
          <w:spacing w:val="40"/>
          <w:sz w:val="32"/>
          <w:szCs w:val="32"/>
          <w:highlight w:val="none"/>
          <w:lang w:val="en-US" w:eastAsia="zh-CN"/>
        </w:rPr>
        <w:t>三</w:t>
      </w:r>
      <w:r>
        <w:rPr>
          <w:rFonts w:hint="eastAsia" w:ascii="宋体" w:hAnsi="宋体"/>
          <w:b/>
          <w:spacing w:val="40"/>
          <w:sz w:val="32"/>
          <w:szCs w:val="32"/>
          <w:highlight w:val="none"/>
        </w:rPr>
        <w:t>月</w:t>
      </w:r>
    </w:p>
    <w:p>
      <w:pPr>
        <w:jc w:val="center"/>
        <w:rPr>
          <w:rFonts w:ascii="Times New Roman" w:hAnsi="Times New Roman"/>
        </w:rPr>
      </w:pPr>
      <w:r>
        <w:rPr>
          <w:rFonts w:ascii="Times New Roman" w:hAnsi="Times New Roman"/>
        </w:rPr>
        <w:br w:type="page"/>
      </w:r>
    </w:p>
    <w:p>
      <w:pPr>
        <w:pStyle w:val="78"/>
        <w:jc w:val="center"/>
        <w:rPr>
          <w:rFonts w:ascii="Times New Roman" w:hAnsi="Times New Roman" w:eastAsia="黑体"/>
          <w:b w:val="0"/>
          <w:color w:val="auto"/>
          <w:lang w:val="zh-CN"/>
        </w:rPr>
      </w:pPr>
      <w:bookmarkStart w:id="0" w:name="_Toc2269"/>
      <w:bookmarkStart w:id="1" w:name="_Toc530"/>
      <w:bookmarkStart w:id="2" w:name="_Toc14283"/>
      <w:bookmarkStart w:id="3" w:name="_Toc152042287"/>
      <w:bookmarkStart w:id="4" w:name="_Toc144974479"/>
      <w:bookmarkStart w:id="5" w:name="_Toc152045511"/>
      <w:r>
        <w:rPr>
          <w:rFonts w:hint="eastAsia" w:ascii="Times New Roman" w:hAnsi="Times New Roman" w:eastAsia="黑体"/>
          <w:b w:val="0"/>
          <w:color w:val="auto"/>
          <w:lang w:val="zh-CN"/>
        </w:rPr>
        <w:t>目</w:t>
      </w:r>
      <w:r>
        <w:rPr>
          <w:rFonts w:ascii="Times New Roman" w:hAnsi="Times New Roman" w:eastAsia="黑体"/>
          <w:b w:val="0"/>
          <w:color w:val="auto"/>
          <w:lang w:val="zh-CN"/>
        </w:rPr>
        <w:t xml:space="preserve">  </w:t>
      </w:r>
      <w:r>
        <w:rPr>
          <w:rFonts w:hint="eastAsia" w:ascii="Times New Roman" w:hAnsi="Times New Roman" w:eastAsia="黑体"/>
          <w:b w:val="0"/>
          <w:color w:val="auto"/>
          <w:lang w:val="zh-CN"/>
        </w:rPr>
        <w:t>录</w:t>
      </w:r>
      <w:bookmarkEnd w:id="0"/>
      <w:bookmarkEnd w:id="1"/>
      <w:bookmarkEnd w:id="2"/>
    </w:p>
    <w:p>
      <w:pPr>
        <w:rPr>
          <w:lang w:val="zh-CN"/>
        </w:rPr>
      </w:pPr>
    </w:p>
    <w:p>
      <w:pPr>
        <w:rPr>
          <w:lang w:val="zh-CN"/>
        </w:rPr>
      </w:pPr>
    </w:p>
    <w:p>
      <w:pPr>
        <w:pStyle w:val="33"/>
        <w:tabs>
          <w:tab w:val="right" w:leader="dot" w:pos="8303"/>
        </w:tabs>
        <w:spacing w:line="480" w:lineRule="auto"/>
        <w:rPr>
          <w:rFonts w:asciiTheme="minorHAnsi" w:hAnsiTheme="minorHAnsi" w:eastAsiaTheme="minorEastAsia" w:cstheme="minorBidi"/>
        </w:rPr>
      </w:pPr>
      <w:r>
        <w:rPr>
          <w:lang w:val="zh-CN"/>
        </w:rPr>
        <w:fldChar w:fldCharType="begin"/>
      </w:r>
      <w:r>
        <w:rPr>
          <w:lang w:val="zh-CN"/>
        </w:rPr>
        <w:instrText xml:space="preserve"> TOC \o "1-1" \h \z \u </w:instrText>
      </w:r>
      <w:r>
        <w:rPr>
          <w:lang w:val="zh-CN"/>
        </w:rPr>
        <w:fldChar w:fldCharType="separate"/>
      </w:r>
      <w:r>
        <w:fldChar w:fldCharType="begin"/>
      </w:r>
      <w:r>
        <w:instrText xml:space="preserve"> HYPERLINK \l "_Toc56857072" </w:instrText>
      </w:r>
      <w:r>
        <w:fldChar w:fldCharType="separate"/>
      </w:r>
      <w:r>
        <w:rPr>
          <w:rStyle w:val="50"/>
          <w:rFonts w:hint="eastAsia"/>
          <w:b/>
          <w:bCs/>
        </w:rPr>
        <w:t>第一卷</w:t>
      </w:r>
      <w:r>
        <w:rPr>
          <w:b/>
          <w:bCs/>
        </w:rPr>
        <w:tab/>
      </w:r>
      <w:r>
        <w:rPr>
          <w:b/>
          <w:bCs/>
        </w:rPr>
        <w:fldChar w:fldCharType="begin"/>
      </w:r>
      <w:r>
        <w:rPr>
          <w:b/>
          <w:bCs/>
        </w:rPr>
        <w:instrText xml:space="preserve"> PAGEREF _Toc56857072 \h </w:instrText>
      </w:r>
      <w:r>
        <w:rPr>
          <w:b/>
          <w:bCs/>
        </w:rPr>
        <w:fldChar w:fldCharType="separate"/>
      </w:r>
      <w:r>
        <w:rPr>
          <w:b/>
          <w:bCs/>
        </w:rPr>
        <w:t>1</w:t>
      </w:r>
      <w:r>
        <w:rPr>
          <w:b/>
          <w:bCs/>
        </w:rPr>
        <w:fldChar w:fldCharType="end"/>
      </w:r>
      <w:r>
        <w:rPr>
          <w:b/>
          <w:bCs/>
        </w:rPr>
        <w:fldChar w:fldCharType="end"/>
      </w:r>
    </w:p>
    <w:p>
      <w:pPr>
        <w:pStyle w:val="33"/>
        <w:tabs>
          <w:tab w:val="right" w:leader="dot" w:pos="8303"/>
        </w:tabs>
        <w:spacing w:line="480" w:lineRule="auto"/>
        <w:rPr>
          <w:rFonts w:asciiTheme="minorHAnsi" w:hAnsiTheme="minorHAnsi" w:eastAsiaTheme="minorEastAsia" w:cstheme="minorBidi"/>
        </w:rPr>
      </w:pPr>
      <w:r>
        <w:fldChar w:fldCharType="begin"/>
      </w:r>
      <w:r>
        <w:instrText xml:space="preserve"> HYPERLINK \l "_Toc56857073" </w:instrText>
      </w:r>
      <w:r>
        <w:fldChar w:fldCharType="separate"/>
      </w:r>
      <w:r>
        <w:rPr>
          <w:rStyle w:val="50"/>
          <w:rFonts w:hint="eastAsia"/>
        </w:rPr>
        <w:t>第一章</w:t>
      </w:r>
      <w:r>
        <w:rPr>
          <w:rStyle w:val="50"/>
        </w:rPr>
        <w:t xml:space="preserve"> </w:t>
      </w:r>
      <w:r>
        <w:rPr>
          <w:rStyle w:val="50"/>
          <w:rFonts w:hint="eastAsia"/>
        </w:rPr>
        <w:t>招标公告</w:t>
      </w:r>
      <w:r>
        <w:tab/>
      </w:r>
      <w:r>
        <w:fldChar w:fldCharType="begin"/>
      </w:r>
      <w:r>
        <w:instrText xml:space="preserve"> PAGEREF _Toc56857073 \h </w:instrText>
      </w:r>
      <w:r>
        <w:fldChar w:fldCharType="separate"/>
      </w:r>
      <w:r>
        <w:t>1</w:t>
      </w:r>
      <w:r>
        <w:fldChar w:fldCharType="end"/>
      </w:r>
      <w:r>
        <w:fldChar w:fldCharType="end"/>
      </w:r>
    </w:p>
    <w:p>
      <w:pPr>
        <w:pStyle w:val="33"/>
        <w:tabs>
          <w:tab w:val="right" w:leader="dot" w:pos="8303"/>
        </w:tabs>
        <w:spacing w:line="480" w:lineRule="auto"/>
        <w:rPr>
          <w:rFonts w:asciiTheme="minorHAnsi" w:hAnsiTheme="minorHAnsi" w:eastAsiaTheme="minorEastAsia" w:cstheme="minorBidi"/>
        </w:rPr>
      </w:pPr>
      <w:r>
        <w:fldChar w:fldCharType="begin"/>
      </w:r>
      <w:r>
        <w:instrText xml:space="preserve"> HYPERLINK \l "_Toc56857074" </w:instrText>
      </w:r>
      <w:r>
        <w:fldChar w:fldCharType="separate"/>
      </w:r>
      <w:r>
        <w:rPr>
          <w:rStyle w:val="50"/>
          <w:rFonts w:hint="eastAsia"/>
        </w:rPr>
        <w:t>第二章</w:t>
      </w:r>
      <w:r>
        <w:rPr>
          <w:rStyle w:val="50"/>
        </w:rPr>
        <w:t xml:space="preserve"> </w:t>
      </w:r>
      <w:r>
        <w:rPr>
          <w:rStyle w:val="50"/>
          <w:rFonts w:hint="eastAsia"/>
        </w:rPr>
        <w:t>投标人须知</w:t>
      </w:r>
      <w:r>
        <w:tab/>
      </w:r>
      <w:r>
        <w:fldChar w:fldCharType="begin"/>
      </w:r>
      <w:r>
        <w:instrText xml:space="preserve"> PAGEREF _Toc56857074 \h </w:instrText>
      </w:r>
      <w:r>
        <w:fldChar w:fldCharType="separate"/>
      </w:r>
      <w:r>
        <w:t>6</w:t>
      </w:r>
      <w:r>
        <w:fldChar w:fldCharType="end"/>
      </w:r>
      <w:r>
        <w:fldChar w:fldCharType="end"/>
      </w:r>
    </w:p>
    <w:p>
      <w:pPr>
        <w:pStyle w:val="33"/>
        <w:tabs>
          <w:tab w:val="right" w:leader="dot" w:pos="8303"/>
        </w:tabs>
        <w:spacing w:line="480" w:lineRule="auto"/>
        <w:rPr>
          <w:rFonts w:asciiTheme="minorHAnsi" w:hAnsiTheme="minorHAnsi" w:eastAsiaTheme="minorEastAsia" w:cstheme="minorBidi"/>
        </w:rPr>
      </w:pPr>
      <w:r>
        <w:fldChar w:fldCharType="begin"/>
      </w:r>
      <w:r>
        <w:instrText xml:space="preserve"> HYPERLINK \l "_Toc56857075" </w:instrText>
      </w:r>
      <w:r>
        <w:fldChar w:fldCharType="separate"/>
      </w:r>
      <w:r>
        <w:rPr>
          <w:rStyle w:val="50"/>
          <w:rFonts w:hint="eastAsia"/>
        </w:rPr>
        <w:t>第三章</w:t>
      </w:r>
      <w:r>
        <w:rPr>
          <w:rStyle w:val="50"/>
        </w:rPr>
        <w:t xml:space="preserve"> </w:t>
      </w:r>
      <w:r>
        <w:rPr>
          <w:rStyle w:val="50"/>
          <w:rFonts w:hint="eastAsia"/>
        </w:rPr>
        <w:t>评标办法（综合评估法）</w:t>
      </w:r>
      <w:r>
        <w:tab/>
      </w:r>
      <w:r>
        <w:fldChar w:fldCharType="begin"/>
      </w:r>
      <w:r>
        <w:instrText xml:space="preserve"> PAGEREF _Toc56857075 \h </w:instrText>
      </w:r>
      <w:r>
        <w:fldChar w:fldCharType="separate"/>
      </w:r>
      <w:r>
        <w:t>25</w:t>
      </w:r>
      <w:r>
        <w:fldChar w:fldCharType="end"/>
      </w:r>
      <w:r>
        <w:fldChar w:fldCharType="end"/>
      </w:r>
    </w:p>
    <w:p>
      <w:pPr>
        <w:pStyle w:val="33"/>
        <w:tabs>
          <w:tab w:val="right" w:leader="dot" w:pos="8303"/>
        </w:tabs>
        <w:spacing w:line="480" w:lineRule="auto"/>
        <w:rPr>
          <w:rFonts w:asciiTheme="minorHAnsi" w:hAnsiTheme="minorHAnsi" w:eastAsiaTheme="minorEastAsia" w:cstheme="minorBidi"/>
        </w:rPr>
      </w:pPr>
      <w:r>
        <w:fldChar w:fldCharType="begin"/>
      </w:r>
      <w:r>
        <w:instrText xml:space="preserve"> HYPERLINK \l "_Toc56857076" </w:instrText>
      </w:r>
      <w:r>
        <w:fldChar w:fldCharType="separate"/>
      </w:r>
      <w:r>
        <w:rPr>
          <w:rStyle w:val="50"/>
          <w:rFonts w:hint="eastAsia" w:asciiTheme="minorEastAsia" w:hAnsiTheme="minorEastAsia"/>
        </w:rPr>
        <w:t>第四章</w:t>
      </w:r>
      <w:r>
        <w:rPr>
          <w:rStyle w:val="50"/>
          <w:rFonts w:asciiTheme="minorEastAsia" w:hAnsiTheme="minorEastAsia"/>
        </w:rPr>
        <w:t xml:space="preserve"> </w:t>
      </w:r>
      <w:r>
        <w:rPr>
          <w:rStyle w:val="50"/>
          <w:rFonts w:hint="eastAsia" w:asciiTheme="minorEastAsia" w:hAnsiTheme="minorEastAsia"/>
        </w:rPr>
        <w:t>合同条款及格式</w:t>
      </w:r>
      <w:r>
        <w:tab/>
      </w:r>
      <w:r>
        <w:fldChar w:fldCharType="begin"/>
      </w:r>
      <w:r>
        <w:instrText xml:space="preserve"> PAGEREF _Toc56857076 \h </w:instrText>
      </w:r>
      <w:r>
        <w:fldChar w:fldCharType="separate"/>
      </w:r>
      <w:r>
        <w:t>34</w:t>
      </w:r>
      <w:r>
        <w:fldChar w:fldCharType="end"/>
      </w:r>
      <w:r>
        <w:fldChar w:fldCharType="end"/>
      </w:r>
    </w:p>
    <w:p>
      <w:pPr>
        <w:pStyle w:val="33"/>
        <w:tabs>
          <w:tab w:val="right" w:leader="dot" w:pos="8303"/>
        </w:tabs>
        <w:spacing w:line="480" w:lineRule="auto"/>
        <w:rPr>
          <w:rFonts w:asciiTheme="minorHAnsi" w:hAnsiTheme="minorHAnsi" w:eastAsiaTheme="minorEastAsia" w:cstheme="minorBidi"/>
          <w:b/>
          <w:bCs/>
        </w:rPr>
      </w:pPr>
      <w:r>
        <w:fldChar w:fldCharType="begin"/>
      </w:r>
      <w:r>
        <w:instrText xml:space="preserve"> HYPERLINK \l "_Toc56857077" </w:instrText>
      </w:r>
      <w:r>
        <w:fldChar w:fldCharType="separate"/>
      </w:r>
      <w:r>
        <w:rPr>
          <w:rStyle w:val="50"/>
          <w:rFonts w:hint="eastAsia"/>
          <w:b/>
          <w:bCs/>
        </w:rPr>
        <w:t>第二卷</w:t>
      </w:r>
      <w:r>
        <w:rPr>
          <w:b/>
          <w:bCs/>
        </w:rPr>
        <w:tab/>
      </w:r>
      <w:r>
        <w:rPr>
          <w:b/>
          <w:bCs/>
        </w:rPr>
        <w:fldChar w:fldCharType="begin"/>
      </w:r>
      <w:r>
        <w:rPr>
          <w:b/>
          <w:bCs/>
        </w:rPr>
        <w:instrText xml:space="preserve"> PAGEREF _Toc56857077 \h </w:instrText>
      </w:r>
      <w:r>
        <w:rPr>
          <w:b/>
          <w:bCs/>
        </w:rPr>
        <w:fldChar w:fldCharType="separate"/>
      </w:r>
      <w:r>
        <w:rPr>
          <w:b/>
          <w:bCs/>
        </w:rPr>
        <w:t>42</w:t>
      </w:r>
      <w:r>
        <w:rPr>
          <w:b/>
          <w:bCs/>
        </w:rPr>
        <w:fldChar w:fldCharType="end"/>
      </w:r>
      <w:r>
        <w:rPr>
          <w:b/>
          <w:bCs/>
        </w:rPr>
        <w:fldChar w:fldCharType="end"/>
      </w:r>
    </w:p>
    <w:p>
      <w:pPr>
        <w:pStyle w:val="33"/>
        <w:tabs>
          <w:tab w:val="right" w:leader="dot" w:pos="8303"/>
        </w:tabs>
        <w:spacing w:line="480" w:lineRule="auto"/>
        <w:rPr>
          <w:rFonts w:asciiTheme="minorHAnsi" w:hAnsiTheme="minorHAnsi" w:eastAsiaTheme="minorEastAsia" w:cstheme="minorBidi"/>
        </w:rPr>
      </w:pPr>
      <w:r>
        <w:fldChar w:fldCharType="begin"/>
      </w:r>
      <w:r>
        <w:instrText xml:space="preserve"> HYPERLINK \l "_Toc56857078" </w:instrText>
      </w:r>
      <w:r>
        <w:fldChar w:fldCharType="separate"/>
      </w:r>
      <w:r>
        <w:rPr>
          <w:rStyle w:val="50"/>
          <w:rFonts w:hint="eastAsia"/>
        </w:rPr>
        <w:t>第五章</w:t>
      </w:r>
      <w:r>
        <w:rPr>
          <w:rStyle w:val="50"/>
        </w:rPr>
        <w:t xml:space="preserve"> </w:t>
      </w:r>
      <w:r>
        <w:rPr>
          <w:rStyle w:val="50"/>
          <w:rFonts w:hint="eastAsia"/>
        </w:rPr>
        <w:t>发包人要求</w:t>
      </w:r>
      <w:r>
        <w:tab/>
      </w:r>
      <w:r>
        <w:fldChar w:fldCharType="begin"/>
      </w:r>
      <w:r>
        <w:instrText xml:space="preserve"> PAGEREF _Toc56857078 \h </w:instrText>
      </w:r>
      <w:r>
        <w:fldChar w:fldCharType="separate"/>
      </w:r>
      <w:r>
        <w:t>42</w:t>
      </w:r>
      <w:r>
        <w:fldChar w:fldCharType="end"/>
      </w:r>
      <w:r>
        <w:fldChar w:fldCharType="end"/>
      </w:r>
    </w:p>
    <w:p>
      <w:pPr>
        <w:pStyle w:val="33"/>
        <w:tabs>
          <w:tab w:val="right" w:leader="dot" w:pos="8303"/>
        </w:tabs>
        <w:spacing w:line="480" w:lineRule="auto"/>
        <w:rPr>
          <w:rFonts w:asciiTheme="minorHAnsi" w:hAnsiTheme="minorHAnsi" w:eastAsiaTheme="minorEastAsia" w:cstheme="minorBidi"/>
          <w:b/>
          <w:bCs/>
        </w:rPr>
      </w:pPr>
      <w:r>
        <w:fldChar w:fldCharType="begin"/>
      </w:r>
      <w:r>
        <w:instrText xml:space="preserve"> HYPERLINK \l "_Toc56857079" </w:instrText>
      </w:r>
      <w:r>
        <w:fldChar w:fldCharType="separate"/>
      </w:r>
      <w:r>
        <w:rPr>
          <w:rStyle w:val="50"/>
          <w:rFonts w:hint="eastAsia"/>
          <w:b/>
          <w:bCs/>
        </w:rPr>
        <w:t>第三卷</w:t>
      </w:r>
      <w:r>
        <w:rPr>
          <w:b/>
          <w:bCs/>
        </w:rPr>
        <w:tab/>
      </w:r>
      <w:r>
        <w:rPr>
          <w:b/>
          <w:bCs/>
        </w:rPr>
        <w:fldChar w:fldCharType="begin"/>
      </w:r>
      <w:r>
        <w:rPr>
          <w:b/>
          <w:bCs/>
        </w:rPr>
        <w:instrText xml:space="preserve"> PAGEREF _Toc56857079 \h </w:instrText>
      </w:r>
      <w:r>
        <w:rPr>
          <w:b/>
          <w:bCs/>
        </w:rPr>
        <w:fldChar w:fldCharType="separate"/>
      </w:r>
      <w:r>
        <w:rPr>
          <w:b/>
          <w:bCs/>
        </w:rPr>
        <w:t>48</w:t>
      </w:r>
      <w:r>
        <w:rPr>
          <w:b/>
          <w:bCs/>
        </w:rPr>
        <w:fldChar w:fldCharType="end"/>
      </w:r>
      <w:r>
        <w:rPr>
          <w:b/>
          <w:bCs/>
        </w:rPr>
        <w:fldChar w:fldCharType="end"/>
      </w:r>
    </w:p>
    <w:p>
      <w:pPr>
        <w:pStyle w:val="33"/>
        <w:tabs>
          <w:tab w:val="right" w:leader="dot" w:pos="8303"/>
        </w:tabs>
        <w:spacing w:line="480" w:lineRule="auto"/>
        <w:rPr>
          <w:rFonts w:asciiTheme="minorHAnsi" w:hAnsiTheme="minorHAnsi" w:eastAsiaTheme="minorEastAsia" w:cstheme="minorBidi"/>
        </w:rPr>
      </w:pPr>
      <w:r>
        <w:fldChar w:fldCharType="begin"/>
      </w:r>
      <w:r>
        <w:instrText xml:space="preserve"> HYPERLINK \l "_Toc56857080" </w:instrText>
      </w:r>
      <w:r>
        <w:fldChar w:fldCharType="separate"/>
      </w:r>
      <w:r>
        <w:rPr>
          <w:rStyle w:val="50"/>
          <w:rFonts w:hint="eastAsia"/>
        </w:rPr>
        <w:t>第六章投标文件格式</w:t>
      </w:r>
      <w:r>
        <w:tab/>
      </w:r>
      <w:r>
        <w:fldChar w:fldCharType="begin"/>
      </w:r>
      <w:r>
        <w:instrText xml:space="preserve"> PAGEREF _Toc56857080 \h </w:instrText>
      </w:r>
      <w:r>
        <w:fldChar w:fldCharType="separate"/>
      </w:r>
      <w:r>
        <w:t>48</w:t>
      </w:r>
      <w:r>
        <w:fldChar w:fldCharType="end"/>
      </w:r>
      <w:r>
        <w:fldChar w:fldCharType="end"/>
      </w:r>
    </w:p>
    <w:p>
      <w:pPr>
        <w:spacing w:line="480" w:lineRule="auto"/>
        <w:rPr>
          <w:lang w:val="zh-CN"/>
        </w:rPr>
        <w:sectPr>
          <w:pgSz w:w="11907" w:h="16840"/>
          <w:pgMar w:top="1440" w:right="1797" w:bottom="1440" w:left="1797" w:header="720" w:footer="720" w:gutter="0"/>
          <w:pgNumType w:start="1"/>
          <w:cols w:space="720" w:num="1"/>
          <w:docGrid w:linePitch="285" w:charSpace="0"/>
        </w:sectPr>
      </w:pPr>
      <w:r>
        <w:rPr>
          <w:lang w:val="zh-CN"/>
        </w:rPr>
        <w:fldChar w:fldCharType="end"/>
      </w:r>
    </w:p>
    <w:p/>
    <w:p>
      <w:pPr>
        <w:pStyle w:val="3"/>
      </w:pPr>
      <w:bookmarkStart w:id="6" w:name="_Toc56857072"/>
      <w:bookmarkStart w:id="7" w:name="_Toc56856832"/>
      <w:r>
        <w:rPr>
          <w:rFonts w:hint="eastAsia"/>
        </w:rPr>
        <w:t>第一卷</w:t>
      </w:r>
      <w:bookmarkEnd w:id="6"/>
      <w:bookmarkEnd w:id="7"/>
    </w:p>
    <w:p>
      <w:pPr>
        <w:pStyle w:val="5"/>
        <w:sectPr>
          <w:footerReference r:id="rId3" w:type="default"/>
          <w:pgSz w:w="11907" w:h="16840"/>
          <w:pgMar w:top="1440" w:right="1797" w:bottom="1440" w:left="1797" w:header="720" w:footer="720" w:gutter="0"/>
          <w:pgNumType w:start="1"/>
          <w:cols w:space="720" w:num="1"/>
          <w:docGrid w:linePitch="285" w:charSpace="0"/>
        </w:sectPr>
      </w:pPr>
    </w:p>
    <w:p>
      <w:pPr>
        <w:pStyle w:val="3"/>
        <w:spacing w:line="240" w:lineRule="auto"/>
        <w:rPr>
          <w:u w:val="none"/>
        </w:rPr>
      </w:pPr>
      <w:bookmarkStart w:id="8" w:name="_Toc56857073"/>
      <w:bookmarkStart w:id="9" w:name="_Toc56856833"/>
      <w:r>
        <w:rPr>
          <w:rFonts w:hint="eastAsia"/>
        </w:rPr>
        <w:t xml:space="preserve">第一章 </w:t>
      </w:r>
      <w:r>
        <w:rPr>
          <w:rFonts w:hint="eastAsia"/>
          <w:u w:val="none"/>
        </w:rPr>
        <w:t>招标公告</w:t>
      </w:r>
      <w:bookmarkEnd w:id="8"/>
      <w:bookmarkEnd w:id="9"/>
    </w:p>
    <w:p>
      <w:pPr>
        <w:keepNext/>
        <w:keepLines/>
        <w:spacing w:before="260" w:after="260"/>
        <w:outlineLvl w:val="1"/>
        <w:rPr>
          <w:rFonts w:ascii="宋体" w:hAnsi="宋体"/>
          <w:b/>
          <w:sz w:val="32"/>
          <w:szCs w:val="20"/>
          <w:u w:val="none"/>
        </w:rPr>
      </w:pPr>
      <w:bookmarkStart w:id="10" w:name="_Toc56856834"/>
      <w:bookmarkStart w:id="11" w:name="_Toc6557025"/>
      <w:bookmarkStart w:id="12" w:name="_Toc38791393"/>
      <w:r>
        <w:rPr>
          <w:rFonts w:ascii="宋体" w:hAnsi="宋体"/>
          <w:b/>
          <w:sz w:val="32"/>
          <w:szCs w:val="20"/>
          <w:u w:val="none"/>
        </w:rPr>
        <w:t>1. 招标条件</w:t>
      </w:r>
      <w:bookmarkEnd w:id="10"/>
      <w:bookmarkEnd w:id="11"/>
      <w:bookmarkEnd w:id="12"/>
      <w:r>
        <w:rPr>
          <w:rFonts w:hint="eastAsia" w:ascii="宋体" w:hAnsi="宋体"/>
          <w:b/>
          <w:sz w:val="32"/>
          <w:szCs w:val="20"/>
          <w:u w:val="none"/>
        </w:rPr>
        <w:t xml:space="preserve"> </w:t>
      </w:r>
    </w:p>
    <w:p>
      <w:pPr>
        <w:spacing w:line="400" w:lineRule="exact"/>
        <w:ind w:firstLine="420" w:firstLineChars="200"/>
        <w:rPr>
          <w:rFonts w:ascii="宋体" w:hAnsi="宋体"/>
          <w:u w:val="none"/>
        </w:rPr>
      </w:pPr>
      <w:r>
        <w:rPr>
          <w:rFonts w:ascii="宋体" w:hAnsi="宋体"/>
          <w:u w:val="none"/>
        </w:rPr>
        <w:t>本招标项目</w:t>
      </w:r>
      <w:r>
        <w:rPr>
          <w:rFonts w:hint="eastAsia" w:ascii="宋体" w:hAnsi="宋体"/>
          <w:u w:val="none"/>
          <w:lang w:eastAsia="zh-CN"/>
        </w:rPr>
        <w:t>2026年度江碧环保科技创新产业园-工业废水集中处理厂废水处理普通药剂采购项目（第二次）</w:t>
      </w:r>
      <w:r>
        <w:rPr>
          <w:rFonts w:hint="eastAsia" w:ascii="宋体" w:hAnsi="宋体"/>
          <w:u w:val="none"/>
          <w:lang w:val="en-US" w:eastAsia="zh-CN"/>
        </w:rPr>
        <w:t>,</w:t>
      </w:r>
      <w:r>
        <w:rPr>
          <w:rFonts w:ascii="宋体" w:hAnsi="宋体"/>
          <w:u w:val="none"/>
        </w:rPr>
        <w:t>招标人为</w:t>
      </w:r>
      <w:r>
        <w:rPr>
          <w:rFonts w:hint="eastAsia" w:ascii="宋体" w:hAnsi="宋体"/>
          <w:u w:val="none"/>
        </w:rPr>
        <w:t>深圳市宝安湾环境科技发展有限公司</w:t>
      </w:r>
      <w:r>
        <w:rPr>
          <w:rFonts w:hint="eastAsia" w:ascii="宋体" w:hAnsi="宋体"/>
          <w:u w:val="none"/>
          <w:lang w:val="en-US" w:eastAsia="zh-CN"/>
        </w:rPr>
        <w:t>,</w:t>
      </w:r>
      <w:r>
        <w:rPr>
          <w:rFonts w:ascii="宋体" w:hAnsi="宋体"/>
          <w:u w:val="none"/>
        </w:rPr>
        <w:t>招标项目资金来</w:t>
      </w:r>
      <w:r>
        <w:rPr>
          <w:rFonts w:hint="eastAsia" w:ascii="宋体" w:hAnsi="宋体"/>
          <w:u w:val="none"/>
          <w:lang w:val="en-US" w:eastAsia="zh-CN"/>
        </w:rPr>
        <w:t>企业自筹</w:t>
      </w:r>
      <w:r>
        <w:rPr>
          <w:rFonts w:ascii="宋体" w:hAnsi="宋体"/>
          <w:u w:val="none"/>
        </w:rPr>
        <w:t>，出资比例为100%。该项目已具备招标条件，现对</w:t>
      </w:r>
      <w:r>
        <w:rPr>
          <w:rFonts w:hint="eastAsia" w:ascii="宋体" w:hAnsi="宋体"/>
          <w:u w:val="none"/>
          <w:lang w:eastAsia="zh-CN"/>
        </w:rPr>
        <w:t>2026年度江碧环保科技创新产业园-工业废水集中处理厂废水处理普通药剂采购项目（第二次）</w:t>
      </w:r>
      <w:r>
        <w:rPr>
          <w:rFonts w:ascii="宋体" w:hAnsi="宋体"/>
          <w:u w:val="none"/>
        </w:rPr>
        <w:t>进行公开招标。</w:t>
      </w:r>
    </w:p>
    <w:p>
      <w:pPr>
        <w:keepNext/>
        <w:keepLines/>
        <w:spacing w:before="260" w:after="260"/>
        <w:outlineLvl w:val="1"/>
        <w:rPr>
          <w:rFonts w:ascii="宋体" w:hAnsi="宋体"/>
          <w:b/>
          <w:sz w:val="32"/>
          <w:szCs w:val="20"/>
          <w:u w:val="none"/>
        </w:rPr>
      </w:pPr>
      <w:bookmarkStart w:id="13" w:name="_Toc38791394"/>
      <w:bookmarkStart w:id="14" w:name="_Toc6557026"/>
      <w:bookmarkStart w:id="15" w:name="_Toc56856835"/>
      <w:r>
        <w:rPr>
          <w:rFonts w:ascii="宋体" w:hAnsi="宋体"/>
          <w:b/>
          <w:sz w:val="32"/>
          <w:szCs w:val="20"/>
          <w:u w:val="none"/>
        </w:rPr>
        <w:t>2. 项目概况与</w:t>
      </w:r>
      <w:r>
        <w:rPr>
          <w:rFonts w:hint="eastAsia" w:ascii="宋体" w:hAnsi="宋体"/>
          <w:b/>
          <w:sz w:val="32"/>
          <w:szCs w:val="20"/>
          <w:u w:val="none"/>
        </w:rPr>
        <w:t>招标范围</w:t>
      </w:r>
      <w:bookmarkEnd w:id="13"/>
      <w:bookmarkEnd w:id="14"/>
      <w:bookmarkEnd w:id="15"/>
    </w:p>
    <w:p>
      <w:pPr>
        <w:spacing w:line="400" w:lineRule="exact"/>
        <w:ind w:firstLine="420"/>
        <w:rPr>
          <w:rFonts w:hint="eastAsia" w:ascii="宋体" w:hAnsi="宋体"/>
          <w:color w:val="auto"/>
          <w:highlight w:val="none"/>
          <w:u w:val="none"/>
          <w:lang w:eastAsia="zh-CN"/>
        </w:rPr>
      </w:pPr>
      <w:r>
        <w:rPr>
          <w:rFonts w:hint="eastAsia" w:ascii="宋体" w:hAnsi="宋体"/>
          <w:u w:val="none"/>
        </w:rPr>
        <w:t>2.1 招</w:t>
      </w:r>
      <w:r>
        <w:rPr>
          <w:rFonts w:hint="eastAsia" w:ascii="宋体" w:hAnsi="宋体"/>
          <w:color w:val="auto"/>
          <w:highlight w:val="none"/>
          <w:u w:val="none"/>
          <w:lang w:eastAsia="zh-CN"/>
        </w:rPr>
        <w:t>标项目概况</w:t>
      </w:r>
    </w:p>
    <w:p>
      <w:pPr>
        <w:spacing w:line="400" w:lineRule="exact"/>
        <w:ind w:firstLine="420"/>
        <w:rPr>
          <w:rFonts w:hint="eastAsia" w:ascii="宋体" w:hAnsi="宋体"/>
          <w:color w:val="auto"/>
          <w:highlight w:val="none"/>
          <w:u w:val="none"/>
          <w:lang w:eastAsia="zh-CN"/>
        </w:rPr>
      </w:pPr>
      <w:r>
        <w:rPr>
          <w:rFonts w:hint="eastAsia" w:ascii="宋体" w:hAnsi="宋体"/>
          <w:color w:val="auto"/>
          <w:highlight w:val="none"/>
          <w:u w:val="none"/>
          <w:lang w:eastAsia="zh-CN"/>
        </w:rPr>
        <w:t>招标项目名称：2026年度江碧环保科技创新产业园-工业废水集中处理厂废水处理普通药剂采购项目（第二次）</w:t>
      </w:r>
    </w:p>
    <w:p>
      <w:pPr>
        <w:spacing w:line="400" w:lineRule="exact"/>
        <w:ind w:firstLine="420"/>
        <w:rPr>
          <w:rFonts w:hint="eastAsia" w:ascii="宋体" w:hAnsi="宋体"/>
          <w:color w:val="auto"/>
          <w:highlight w:val="none"/>
          <w:u w:val="none"/>
          <w:lang w:eastAsia="zh-CN"/>
        </w:rPr>
      </w:pPr>
      <w:r>
        <w:rPr>
          <w:rFonts w:hint="eastAsia" w:ascii="宋体" w:hAnsi="宋体"/>
          <w:color w:val="auto"/>
          <w:highlight w:val="none"/>
          <w:u w:val="none"/>
          <w:lang w:eastAsia="zh-CN"/>
        </w:rPr>
        <w:t>项目编号：M4400000707535460001</w:t>
      </w:r>
    </w:p>
    <w:p>
      <w:pPr>
        <w:spacing w:line="400" w:lineRule="exact"/>
        <w:ind w:firstLine="420"/>
        <w:rPr>
          <w:rFonts w:hint="eastAsia" w:ascii="宋体" w:hAnsi="宋体"/>
          <w:color w:val="auto"/>
          <w:highlight w:val="none"/>
          <w:u w:val="none"/>
          <w:lang w:eastAsia="zh-CN"/>
        </w:rPr>
      </w:pPr>
      <w:r>
        <w:rPr>
          <w:rFonts w:hint="eastAsia" w:ascii="宋体" w:hAnsi="宋体"/>
          <w:color w:val="auto"/>
          <w:highlight w:val="none"/>
          <w:u w:val="none"/>
          <w:lang w:eastAsia="zh-CN"/>
        </w:rPr>
        <w:t>2.2招标范围</w:t>
      </w:r>
    </w:p>
    <w:p>
      <w:pPr>
        <w:spacing w:line="400" w:lineRule="exact"/>
        <w:ind w:firstLine="420"/>
        <w:rPr>
          <w:rFonts w:ascii="宋体" w:hAnsi="宋体"/>
          <w:color w:val="auto"/>
          <w:highlight w:val="none"/>
          <w:u w:val="none"/>
        </w:rPr>
      </w:pPr>
      <w:r>
        <w:rPr>
          <w:rFonts w:hint="eastAsia" w:ascii="宋体" w:hAnsi="宋体"/>
          <w:color w:val="auto"/>
          <w:highlight w:val="none"/>
          <w:u w:val="none"/>
          <w:lang w:eastAsia="zh-CN"/>
        </w:rPr>
        <w:t>项目概况：江碧环保科技创新产业园</w:t>
      </w:r>
      <w:r>
        <w:rPr>
          <w:rFonts w:hint="eastAsia" w:ascii="宋体" w:hAnsi="宋体"/>
          <w:color w:val="auto"/>
          <w:highlight w:val="none"/>
          <w:u w:val="none"/>
          <w:lang w:val="en-US" w:eastAsia="zh-CN"/>
        </w:rPr>
        <w:t>-</w:t>
      </w:r>
      <w:r>
        <w:rPr>
          <w:rFonts w:hint="eastAsia" w:ascii="宋体" w:hAnsi="宋体"/>
          <w:color w:val="auto"/>
          <w:highlight w:val="none"/>
          <w:u w:val="none"/>
          <w:lang w:eastAsia="zh-CN"/>
        </w:rPr>
        <w:t>工业废水集中处理厂已进入正常生产运营阶段。为保障2026年度处理厂的正常运行，现采购2026</w:t>
      </w:r>
      <w:r>
        <w:rPr>
          <w:rFonts w:hint="eastAsia" w:ascii="宋体" w:hAnsi="宋体"/>
          <w:color w:val="auto"/>
          <w:highlight w:val="none"/>
          <w:u w:val="none"/>
        </w:rPr>
        <w:t>年度废水处理普通药剂。</w:t>
      </w:r>
    </w:p>
    <w:p>
      <w:pPr>
        <w:spacing w:line="400" w:lineRule="exact"/>
        <w:ind w:firstLine="420"/>
        <w:rPr>
          <w:rFonts w:asciiTheme="minorEastAsia" w:hAnsiTheme="minorEastAsia" w:eastAsiaTheme="minorEastAsia"/>
          <w:color w:val="auto"/>
          <w:highlight w:val="none"/>
          <w:u w:val="none"/>
        </w:rPr>
      </w:pPr>
      <w:r>
        <w:rPr>
          <w:rFonts w:hint="eastAsia" w:ascii="宋体" w:hAnsi="宋体"/>
          <w:color w:val="auto"/>
          <w:highlight w:val="none"/>
          <w:u w:val="none"/>
        </w:rPr>
        <w:t>招标范围：废水处理药剂</w:t>
      </w:r>
      <w:r>
        <w:rPr>
          <w:rFonts w:hint="eastAsia" w:ascii="宋体" w:hAnsi="宋体"/>
          <w:color w:val="auto"/>
          <w:highlight w:val="none"/>
          <w:u w:val="none"/>
          <w:lang w:eastAsia="zh-CN"/>
        </w:rPr>
        <w:t>，</w:t>
      </w:r>
      <w:r>
        <w:rPr>
          <w:rFonts w:hint="eastAsia" w:ascii="宋体" w:hAnsi="宋体"/>
          <w:color w:val="auto"/>
          <w:highlight w:val="none"/>
          <w:u w:val="none"/>
          <w:lang w:val="en-US" w:eastAsia="zh-CN"/>
        </w:rPr>
        <w:t>具体详见采购清单</w:t>
      </w:r>
      <w:r>
        <w:rPr>
          <w:rFonts w:hint="eastAsia" w:ascii="宋体" w:hAnsi="宋体"/>
          <w:color w:val="auto"/>
          <w:highlight w:val="none"/>
          <w:u w:val="none"/>
        </w:rPr>
        <w:t>。</w:t>
      </w:r>
    </w:p>
    <w:p>
      <w:pPr>
        <w:spacing w:line="400" w:lineRule="exact"/>
        <w:ind w:firstLine="42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lang w:val="en-US" w:eastAsia="zh-CN"/>
        </w:rPr>
        <w:t>供货期</w:t>
      </w:r>
      <w:r>
        <w:rPr>
          <w:rFonts w:hint="eastAsia" w:asciiTheme="minorEastAsia" w:hAnsiTheme="minorEastAsia" w:eastAsiaTheme="minorEastAsia"/>
          <w:color w:val="auto"/>
          <w:highlight w:val="none"/>
          <w:u w:val="none"/>
        </w:rPr>
        <w:t>：合同签订之日起一年</w:t>
      </w:r>
    </w:p>
    <w:p>
      <w:pPr>
        <w:spacing w:line="400" w:lineRule="exact"/>
        <w:ind w:firstLine="420"/>
        <w:rPr>
          <w:rFonts w:ascii="宋体" w:hAnsi="宋体"/>
          <w:color w:val="auto"/>
          <w:highlight w:val="none"/>
          <w:u w:val="none"/>
        </w:rPr>
      </w:pPr>
      <w:r>
        <w:rPr>
          <w:rFonts w:hint="eastAsia" w:ascii="宋体" w:hAnsi="宋体"/>
          <w:color w:val="auto"/>
          <w:highlight w:val="none"/>
          <w:u w:val="none"/>
          <w:lang w:val="en-US" w:eastAsia="zh-CN"/>
        </w:rPr>
        <w:t>交货地点</w:t>
      </w:r>
      <w:r>
        <w:rPr>
          <w:rFonts w:hint="eastAsia" w:ascii="宋体" w:hAnsi="宋体"/>
          <w:color w:val="auto"/>
          <w:highlight w:val="none"/>
          <w:u w:val="none"/>
        </w:rPr>
        <w:t>：深圳市宝安区松岗街道江边社区江碧环保科技创新产业园——工业废水集中处理厂</w:t>
      </w:r>
    </w:p>
    <w:p>
      <w:pPr>
        <w:spacing w:line="400" w:lineRule="exact"/>
        <w:ind w:firstLine="420"/>
        <w:rPr>
          <w:rFonts w:hint="eastAsia" w:ascii="宋体" w:hAnsi="宋体" w:eastAsia="宋体"/>
          <w:color w:val="auto"/>
          <w:highlight w:val="none"/>
          <w:u w:val="none"/>
          <w:lang w:eastAsia="zh-CN"/>
        </w:rPr>
      </w:pPr>
      <w:r>
        <w:rPr>
          <w:rFonts w:hint="eastAsia" w:ascii="宋体" w:hAnsi="宋体"/>
          <w:color w:val="auto"/>
          <w:highlight w:val="none"/>
          <w:u w:val="none"/>
        </w:rPr>
        <w:t>本项目招标控制价：</w:t>
      </w:r>
      <w:r>
        <w:rPr>
          <w:rFonts w:hint="eastAsia" w:ascii="宋体" w:hAnsi="宋体"/>
          <w:color w:val="auto"/>
          <w:highlight w:val="none"/>
          <w:u w:val="none"/>
          <w:lang w:eastAsia="zh-CN"/>
        </w:rPr>
        <w:t>人民币1599万元</w:t>
      </w:r>
    </w:p>
    <w:p>
      <w:pPr>
        <w:keepNext/>
        <w:keepLines/>
        <w:spacing w:before="260" w:after="260"/>
        <w:outlineLvl w:val="1"/>
        <w:rPr>
          <w:rFonts w:ascii="宋体" w:hAnsi="宋体"/>
          <w:b/>
          <w:color w:val="auto"/>
          <w:sz w:val="32"/>
          <w:szCs w:val="20"/>
          <w:highlight w:val="none"/>
          <w:u w:val="none"/>
        </w:rPr>
      </w:pPr>
      <w:bookmarkStart w:id="16" w:name="_Toc56856836"/>
      <w:bookmarkStart w:id="17" w:name="_Toc6557027"/>
      <w:bookmarkStart w:id="18" w:name="_Toc38791395"/>
      <w:r>
        <w:rPr>
          <w:rFonts w:ascii="宋体" w:hAnsi="宋体"/>
          <w:b/>
          <w:color w:val="auto"/>
          <w:sz w:val="32"/>
          <w:szCs w:val="20"/>
          <w:highlight w:val="none"/>
          <w:u w:val="none"/>
        </w:rPr>
        <w:t>3. 投标人资格要求</w:t>
      </w:r>
      <w:bookmarkEnd w:id="16"/>
      <w:bookmarkEnd w:id="17"/>
      <w:bookmarkEnd w:id="18"/>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3.</w:t>
      </w:r>
      <w:r>
        <w:rPr>
          <w:rFonts w:ascii="宋体" w:hAnsi="宋体"/>
          <w:color w:val="auto"/>
          <w:highlight w:val="none"/>
          <w:u w:val="none"/>
        </w:rPr>
        <w:t>1</w:t>
      </w:r>
      <w:r>
        <w:rPr>
          <w:rFonts w:hint="eastAsia" w:ascii="宋体" w:hAnsi="宋体"/>
          <w:color w:val="auto"/>
          <w:highlight w:val="none"/>
          <w:u w:val="none"/>
        </w:rPr>
        <w:t xml:space="preserve"> 在中华人民共和国境内注册的有合法经营资格的国内独立法人；</w:t>
      </w:r>
    </w:p>
    <w:p>
      <w:pPr>
        <w:spacing w:line="400" w:lineRule="exact"/>
        <w:ind w:firstLine="420" w:firstLineChars="200"/>
        <w:rPr>
          <w:rFonts w:hint="eastAsia" w:ascii="宋体" w:hAnsi="宋体" w:eastAsia="宋体"/>
          <w:color w:val="auto"/>
          <w:highlight w:val="none"/>
          <w:u w:val="none"/>
          <w:lang w:eastAsia="zh-CN"/>
        </w:rPr>
      </w:pPr>
      <w:r>
        <w:rPr>
          <w:rFonts w:ascii="宋体" w:hAnsi="宋体"/>
          <w:color w:val="auto"/>
          <w:highlight w:val="none"/>
          <w:u w:val="none"/>
        </w:rPr>
        <w:t>3.</w:t>
      </w:r>
      <w:r>
        <w:rPr>
          <w:rFonts w:hint="eastAsia" w:ascii="宋体" w:hAnsi="宋体"/>
          <w:color w:val="auto"/>
          <w:highlight w:val="none"/>
          <w:u w:val="none"/>
        </w:rPr>
        <w:t>2投标人须具有危险化学品的经营许可证，非药品类易制毒化学品经营备案证明，易制毒年度登记备案证明</w:t>
      </w:r>
      <w:r>
        <w:rPr>
          <w:rFonts w:hint="eastAsia" w:ascii="宋体" w:hAnsi="宋体"/>
          <w:color w:val="auto"/>
          <w:highlight w:val="none"/>
          <w:u w:val="none"/>
          <w:lang w:eastAsia="zh-CN"/>
        </w:rPr>
        <w:t>；</w:t>
      </w:r>
    </w:p>
    <w:p>
      <w:pPr>
        <w:spacing w:line="400" w:lineRule="exact"/>
        <w:ind w:firstLine="420" w:firstLineChars="200"/>
        <w:rPr>
          <w:rFonts w:ascii="宋体" w:hAnsi="宋体"/>
          <w:color w:val="auto"/>
          <w:highlight w:val="none"/>
          <w:u w:val="none"/>
        </w:rPr>
      </w:pPr>
      <w:r>
        <w:rPr>
          <w:rFonts w:ascii="宋体" w:hAnsi="宋体"/>
          <w:color w:val="auto"/>
          <w:highlight w:val="none"/>
          <w:u w:val="none"/>
        </w:rPr>
        <w:t>3.3</w:t>
      </w:r>
      <w:r>
        <w:rPr>
          <w:rFonts w:hint="eastAsia" w:ascii="宋体" w:hAnsi="宋体"/>
          <w:color w:val="auto"/>
          <w:highlight w:val="none"/>
          <w:u w:val="none"/>
        </w:rPr>
        <w:t>投标人在2023年1月1日至投标截止时间须具有废水处理药剂供货业绩（三年中其中一年累计合同金额不小于2000万元，需提供合同、合同对应发票）；</w:t>
      </w:r>
    </w:p>
    <w:p>
      <w:pPr>
        <w:spacing w:line="400" w:lineRule="exact"/>
        <w:ind w:firstLine="420" w:firstLineChars="200"/>
        <w:rPr>
          <w:rFonts w:ascii="宋体" w:hAnsi="宋体"/>
          <w:color w:val="auto"/>
          <w:highlight w:val="none"/>
          <w:u w:val="none"/>
        </w:rPr>
      </w:pPr>
      <w:r>
        <w:rPr>
          <w:rFonts w:ascii="宋体" w:hAnsi="宋体"/>
          <w:color w:val="auto"/>
          <w:highlight w:val="none"/>
          <w:u w:val="none"/>
        </w:rPr>
        <w:t>3.</w:t>
      </w:r>
      <w:r>
        <w:rPr>
          <w:rFonts w:hint="eastAsia" w:ascii="宋体" w:hAnsi="宋体"/>
          <w:color w:val="auto"/>
          <w:highlight w:val="none"/>
          <w:u w:val="none"/>
        </w:rPr>
        <w:t>4投标人需完全满足本项目所有化学药剂供应（需提供相关证明材料）；</w:t>
      </w:r>
    </w:p>
    <w:p>
      <w:pPr>
        <w:spacing w:line="400" w:lineRule="exact"/>
        <w:ind w:firstLine="420" w:firstLineChars="200"/>
        <w:rPr>
          <w:rFonts w:ascii="宋体" w:hAnsi="宋体"/>
          <w:color w:val="auto"/>
          <w:highlight w:val="none"/>
          <w:u w:val="none"/>
        </w:rPr>
      </w:pPr>
      <w:r>
        <w:rPr>
          <w:rFonts w:ascii="宋体" w:hAnsi="宋体"/>
          <w:color w:val="auto"/>
          <w:highlight w:val="none"/>
          <w:u w:val="none"/>
        </w:rPr>
        <w:t>3.5</w:t>
      </w:r>
      <w:r>
        <w:rPr>
          <w:rFonts w:hint="eastAsia" w:ascii="宋体" w:hAnsi="宋体"/>
          <w:color w:val="auto"/>
          <w:highlight w:val="none"/>
          <w:u w:val="none"/>
        </w:rPr>
        <w:t>近三年内无行贿犯罪记录；</w:t>
      </w:r>
    </w:p>
    <w:p>
      <w:pPr>
        <w:spacing w:line="400" w:lineRule="exact"/>
        <w:ind w:firstLine="420" w:firstLineChars="200"/>
        <w:rPr>
          <w:rFonts w:ascii="宋体" w:hAnsi="宋体"/>
          <w:color w:val="auto"/>
          <w:highlight w:val="none"/>
          <w:u w:val="none"/>
        </w:rPr>
      </w:pPr>
      <w:r>
        <w:rPr>
          <w:rFonts w:ascii="宋体" w:hAnsi="宋体"/>
          <w:color w:val="auto"/>
          <w:highlight w:val="none"/>
          <w:u w:val="none"/>
        </w:rPr>
        <w:t>3.6</w:t>
      </w:r>
      <w:r>
        <w:rPr>
          <w:rFonts w:hint="eastAsia" w:ascii="宋体" w:hAnsi="宋体"/>
          <w:color w:val="auto"/>
          <w:highlight w:val="none"/>
          <w:u w:val="none"/>
        </w:rPr>
        <w:t>近三年内无安全事故（需提供信用中国-行政管理栏网站查询截图）</w:t>
      </w:r>
      <w:r>
        <w:rPr>
          <w:rFonts w:hint="eastAsia" w:ascii="宋体" w:hAnsi="宋体"/>
          <w:color w:val="auto"/>
          <w:highlight w:val="none"/>
          <w:u w:val="none"/>
          <w:lang w:eastAsia="zh-CN"/>
        </w:rPr>
        <w:t>；</w:t>
      </w:r>
    </w:p>
    <w:p>
      <w:pPr>
        <w:spacing w:line="400" w:lineRule="exact"/>
        <w:ind w:firstLine="420" w:firstLineChars="200"/>
        <w:rPr>
          <w:rFonts w:hint="eastAsia" w:ascii="宋体" w:hAnsi="宋体"/>
          <w:color w:val="auto"/>
          <w:highlight w:val="none"/>
          <w:u w:val="none"/>
        </w:rPr>
      </w:pPr>
      <w:r>
        <w:rPr>
          <w:rFonts w:hint="eastAsia" w:ascii="宋体" w:hAnsi="宋体"/>
          <w:color w:val="auto"/>
          <w:highlight w:val="none"/>
          <w:u w:val="none"/>
        </w:rPr>
        <w:t>3.7关于联合体投标：本项目不接受联合体</w:t>
      </w:r>
      <w:r>
        <w:rPr>
          <w:rFonts w:hint="eastAsia" w:ascii="宋体" w:hAnsi="宋体" w:eastAsia="宋体" w:cs="Times New Roman"/>
          <w:color w:val="auto"/>
          <w:highlight w:val="none"/>
          <w:u w:val="none"/>
          <w:lang w:eastAsia="zh-CN"/>
        </w:rPr>
        <w:t>；</w:t>
      </w:r>
    </w:p>
    <w:p>
      <w:pPr>
        <w:spacing w:line="400" w:lineRule="exact"/>
        <w:ind w:firstLineChars="200"/>
        <w:rPr>
          <w:rFonts w:hint="eastAsia" w:ascii="宋体" w:hAnsi="宋体" w:eastAsia="宋体" w:cs="Times New Roman"/>
          <w:color w:val="auto"/>
          <w:highlight w:val="none"/>
          <w:u w:val="none"/>
          <w:lang w:val="en-US" w:eastAsia="zh-CN"/>
        </w:rPr>
      </w:pPr>
      <w:r>
        <w:rPr>
          <w:rFonts w:hint="eastAsia" w:ascii="宋体" w:hAnsi="宋体" w:eastAsia="宋体" w:cs="Times New Roman"/>
          <w:color w:val="auto"/>
          <w:highlight w:val="none"/>
          <w:u w:val="none"/>
          <w:lang w:val="en-US" w:eastAsia="zh-CN"/>
        </w:rPr>
        <w:t>3.8本项目不允许挂靠和转包；</w:t>
      </w:r>
    </w:p>
    <w:p>
      <w:pPr>
        <w:spacing w:line="400" w:lineRule="exact"/>
        <w:ind w:firstLine="420" w:firstLineChars="200"/>
        <w:rPr>
          <w:rFonts w:hint="eastAsia" w:ascii="宋体" w:hAnsi="宋体"/>
          <w:color w:val="auto"/>
          <w:highlight w:val="none"/>
          <w:u w:val="none"/>
        </w:rPr>
      </w:pPr>
      <w:r>
        <w:rPr>
          <w:rFonts w:hint="eastAsia" w:ascii="宋体" w:hAnsi="宋体"/>
          <w:color w:val="auto"/>
          <w:highlight w:val="none"/>
          <w:u w:val="none"/>
        </w:rPr>
        <w:t>3.</w:t>
      </w:r>
      <w:r>
        <w:rPr>
          <w:rFonts w:hint="eastAsia" w:ascii="宋体" w:hAnsi="宋体" w:eastAsia="宋体" w:cs="Times New Roman"/>
          <w:color w:val="auto"/>
          <w:highlight w:val="none"/>
          <w:u w:val="none"/>
          <w:lang w:val="en-US" w:eastAsia="zh-CN"/>
        </w:rPr>
        <w:t>9</w:t>
      </w:r>
      <w:r>
        <w:rPr>
          <w:rFonts w:hint="eastAsia" w:ascii="宋体" w:hAnsi="宋体"/>
          <w:color w:val="auto"/>
          <w:highlight w:val="none"/>
          <w:u w:val="none"/>
        </w:rPr>
        <w:t>其他要求：</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①投标人已按规定格式签字盖章《投标申请人声明》（格式见本招标公告附件一）作为投标人资格要求之一，此《投标申请人声明》应同时作为投标文件的组成部分。</w:t>
      </w:r>
    </w:p>
    <w:p>
      <w:pPr>
        <w:spacing w:line="400" w:lineRule="exact"/>
        <w:ind w:firstLine="420" w:firstLineChars="200"/>
        <w:rPr>
          <w:rFonts w:ascii="宋体" w:hAnsi="宋体"/>
          <w:color w:val="auto"/>
          <w:highlight w:val="none"/>
          <w:u w:val="none"/>
        </w:rPr>
      </w:pPr>
      <w:r>
        <w:rPr>
          <w:rFonts w:ascii="宋体" w:hAnsi="宋体"/>
          <w:color w:val="auto"/>
          <w:highlight w:val="none"/>
          <w:u w:val="none"/>
        </w:rPr>
        <w:fldChar w:fldCharType="begin"/>
      </w:r>
      <w:r>
        <w:rPr>
          <w:rFonts w:ascii="宋体" w:hAnsi="宋体"/>
          <w:color w:val="auto"/>
          <w:highlight w:val="none"/>
          <w:u w:val="none"/>
        </w:rPr>
        <w:instrText xml:space="preserve"> </w:instrText>
      </w:r>
      <w:r>
        <w:rPr>
          <w:rFonts w:hint="eastAsia" w:ascii="宋体" w:hAnsi="宋体"/>
          <w:color w:val="auto"/>
          <w:highlight w:val="none"/>
          <w:u w:val="none"/>
        </w:rPr>
        <w:instrText xml:space="preserve">= 2 \* GB3</w:instrText>
      </w:r>
      <w:r>
        <w:rPr>
          <w:rFonts w:ascii="宋体" w:hAnsi="宋体"/>
          <w:color w:val="auto"/>
          <w:highlight w:val="none"/>
          <w:u w:val="none"/>
        </w:rPr>
        <w:instrText xml:space="preserve"> </w:instrText>
      </w:r>
      <w:r>
        <w:rPr>
          <w:rFonts w:ascii="宋体" w:hAnsi="宋体"/>
          <w:color w:val="auto"/>
          <w:highlight w:val="none"/>
          <w:u w:val="none"/>
        </w:rPr>
        <w:fldChar w:fldCharType="separate"/>
      </w:r>
      <w:r>
        <w:rPr>
          <w:rFonts w:hint="eastAsia" w:ascii="宋体" w:hAnsi="宋体"/>
          <w:color w:val="auto"/>
          <w:highlight w:val="none"/>
          <w:u w:val="none"/>
        </w:rPr>
        <w:t>②</w:t>
      </w:r>
      <w:r>
        <w:rPr>
          <w:rFonts w:ascii="宋体" w:hAnsi="宋体"/>
          <w:color w:val="auto"/>
          <w:highlight w:val="none"/>
          <w:u w:val="none"/>
        </w:rPr>
        <w:fldChar w:fldCharType="end"/>
      </w:r>
      <w:r>
        <w:rPr>
          <w:rFonts w:hint="eastAsia" w:ascii="宋体" w:hAnsi="宋体"/>
          <w:color w:val="auto"/>
          <w:highlight w:val="none"/>
          <w:u w:val="none"/>
        </w:rPr>
        <w:t>投标人参加投标的意思表达清楚，法定代表人证明书及投标人代表被授权有效。</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③投标人未被列入“信用中国”网站中“记录失信被执行人或重大税收违法案件当事人名单”的记录名单。（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p>
      <w:pPr>
        <w:keepNext/>
        <w:keepLines/>
        <w:spacing w:before="260" w:after="260"/>
        <w:outlineLvl w:val="1"/>
        <w:rPr>
          <w:rFonts w:ascii="宋体" w:hAnsi="宋体"/>
          <w:color w:val="auto"/>
          <w:highlight w:val="none"/>
          <w:u w:val="none"/>
        </w:rPr>
      </w:pPr>
      <w:bookmarkStart w:id="19" w:name="_Toc56856837"/>
      <w:bookmarkStart w:id="20" w:name="_Toc6557028"/>
      <w:bookmarkStart w:id="21" w:name="_Toc38791396"/>
      <w:r>
        <w:rPr>
          <w:rFonts w:ascii="宋体" w:hAnsi="宋体"/>
          <w:b/>
          <w:color w:val="auto"/>
          <w:sz w:val="32"/>
          <w:szCs w:val="20"/>
          <w:highlight w:val="none"/>
          <w:u w:val="none"/>
        </w:rPr>
        <w:t xml:space="preserve">4. </w:t>
      </w:r>
      <w:r>
        <w:rPr>
          <w:rFonts w:hint="eastAsia" w:ascii="宋体" w:hAnsi="宋体"/>
          <w:b/>
          <w:color w:val="auto"/>
          <w:sz w:val="32"/>
          <w:szCs w:val="20"/>
          <w:highlight w:val="none"/>
          <w:u w:val="none"/>
        </w:rPr>
        <w:t>招标文件的获取</w:t>
      </w:r>
      <w:bookmarkEnd w:id="19"/>
      <w:bookmarkEnd w:id="20"/>
      <w:bookmarkEnd w:id="21"/>
    </w:p>
    <w:p>
      <w:pPr>
        <w:topLinePunct/>
        <w:spacing w:line="360" w:lineRule="auto"/>
        <w:ind w:firstLine="420" w:firstLineChars="200"/>
        <w:textAlignment w:val="baseline"/>
        <w:rPr>
          <w:rFonts w:ascii="宋体" w:hAnsi="宋体"/>
          <w:color w:val="auto"/>
          <w:highlight w:val="none"/>
          <w:u w:val="none"/>
        </w:rPr>
      </w:pPr>
      <w:bookmarkStart w:id="22" w:name="_Toc38791397"/>
      <w:bookmarkStart w:id="23" w:name="_Toc6557029"/>
      <w:r>
        <w:rPr>
          <w:rFonts w:hint="eastAsia" w:ascii="宋体" w:hAnsi="宋体"/>
          <w:color w:val="auto"/>
          <w:highlight w:val="none"/>
          <w:u w:val="none"/>
        </w:rPr>
        <w:t>凡有意参加投标者，请按</w:t>
      </w:r>
      <w:r>
        <w:rPr>
          <w:rFonts w:ascii="宋体" w:hAnsi="宋体"/>
          <w:color w:val="auto"/>
          <w:highlight w:val="none"/>
          <w:u w:val="none"/>
        </w:rPr>
        <w:t>要求</w:t>
      </w:r>
      <w:r>
        <w:rPr>
          <w:rFonts w:hint="eastAsia" w:ascii="宋体" w:hAnsi="宋体"/>
          <w:color w:val="auto"/>
          <w:highlight w:val="none"/>
          <w:u w:val="none"/>
        </w:rPr>
        <w:t>完成以下报名手续：</w:t>
      </w:r>
    </w:p>
    <w:p>
      <w:pPr>
        <w:topLinePunct/>
        <w:spacing w:line="360" w:lineRule="auto"/>
        <w:ind w:firstLine="420" w:firstLineChars="200"/>
        <w:textAlignment w:val="baseline"/>
        <w:rPr>
          <w:rFonts w:ascii="宋体" w:hAnsi="宋体"/>
          <w:color w:val="auto"/>
          <w:highlight w:val="none"/>
          <w:u w:val="none"/>
        </w:rPr>
      </w:pPr>
      <w:r>
        <w:rPr>
          <w:rFonts w:hint="eastAsia" w:ascii="宋体" w:hAnsi="宋体"/>
          <w:color w:val="auto"/>
          <w:highlight w:val="none"/>
          <w:u w:val="none"/>
        </w:rPr>
        <w:t>4.1报名及购买招标文件时间：20</w:t>
      </w:r>
      <w:r>
        <w:rPr>
          <w:rFonts w:ascii="宋体" w:hAnsi="宋体"/>
          <w:color w:val="auto"/>
          <w:highlight w:val="none"/>
          <w:u w:val="none"/>
        </w:rPr>
        <w:t>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3</w:t>
      </w:r>
      <w:r>
        <w:rPr>
          <w:rFonts w:hint="eastAsia" w:ascii="宋体" w:hAnsi="宋体"/>
          <w:color w:val="auto"/>
          <w:highlight w:val="none"/>
          <w:u w:val="none"/>
        </w:rPr>
        <w:t>月</w:t>
      </w:r>
      <w:r>
        <w:rPr>
          <w:rFonts w:hint="eastAsia" w:ascii="宋体" w:hAnsi="宋体"/>
          <w:color w:val="auto"/>
          <w:highlight w:val="none"/>
          <w:u w:val="none"/>
          <w:lang w:val="en-US" w:eastAsia="zh-CN"/>
        </w:rPr>
        <w:t>19</w:t>
      </w:r>
      <w:r>
        <w:rPr>
          <w:rFonts w:hint="eastAsia" w:ascii="宋体" w:hAnsi="宋体"/>
          <w:color w:val="auto"/>
          <w:highlight w:val="none"/>
          <w:u w:val="none"/>
        </w:rPr>
        <w:t>日至20</w:t>
      </w:r>
      <w:r>
        <w:rPr>
          <w:rFonts w:ascii="宋体" w:hAnsi="宋体"/>
          <w:color w:val="auto"/>
          <w:highlight w:val="none"/>
          <w:u w:val="none"/>
        </w:rPr>
        <w:t>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3</w:t>
      </w:r>
      <w:r>
        <w:rPr>
          <w:rFonts w:hint="eastAsia" w:ascii="宋体" w:hAnsi="宋体"/>
          <w:color w:val="auto"/>
          <w:highlight w:val="none"/>
          <w:u w:val="none"/>
        </w:rPr>
        <w:t>月</w:t>
      </w:r>
      <w:r>
        <w:rPr>
          <w:rFonts w:hint="eastAsia" w:ascii="宋体" w:hAnsi="宋体"/>
          <w:color w:val="auto"/>
          <w:highlight w:val="none"/>
          <w:u w:val="none"/>
          <w:lang w:val="en-US" w:eastAsia="zh-CN"/>
        </w:rPr>
        <w:t>27</w:t>
      </w:r>
      <w:r>
        <w:rPr>
          <w:rFonts w:hint="eastAsia" w:ascii="宋体" w:hAnsi="宋体"/>
          <w:color w:val="auto"/>
          <w:highlight w:val="none"/>
          <w:u w:val="none"/>
        </w:rPr>
        <w:t>日。</w:t>
      </w:r>
    </w:p>
    <w:p>
      <w:pPr>
        <w:topLinePunct/>
        <w:spacing w:line="360" w:lineRule="auto"/>
        <w:ind w:firstLine="420" w:firstLineChars="200"/>
        <w:textAlignment w:val="baseline"/>
        <w:rPr>
          <w:rFonts w:ascii="宋体" w:hAnsi="宋体"/>
          <w:color w:val="auto"/>
          <w:highlight w:val="none"/>
          <w:u w:val="none"/>
        </w:rPr>
      </w:pPr>
      <w:r>
        <w:rPr>
          <w:rFonts w:hint="eastAsia" w:ascii="宋体" w:hAnsi="宋体"/>
          <w:color w:val="auto"/>
          <w:highlight w:val="none"/>
          <w:u w:val="none"/>
        </w:rPr>
        <w:t>4.2报名及购买招标文件方式：</w:t>
      </w:r>
    </w:p>
    <w:p>
      <w:pPr>
        <w:topLinePunct/>
        <w:spacing w:line="360" w:lineRule="auto"/>
        <w:ind w:firstLine="420" w:firstLineChars="200"/>
        <w:textAlignment w:val="baseline"/>
        <w:rPr>
          <w:rFonts w:ascii="宋体" w:hAnsi="宋体"/>
          <w:color w:val="auto"/>
          <w:highlight w:val="none"/>
          <w:u w:val="none"/>
        </w:rPr>
      </w:pPr>
      <w:r>
        <w:rPr>
          <w:rFonts w:hint="eastAsia" w:ascii="宋体" w:hAnsi="宋体"/>
          <w:snapToGrid w:val="0"/>
          <w:color w:val="auto"/>
          <w:szCs w:val="21"/>
          <w:highlight w:val="none"/>
          <w:u w:val="none"/>
        </w:rPr>
        <w:t>招标文件售价：每份</w:t>
      </w:r>
      <w:r>
        <w:rPr>
          <w:rFonts w:hint="eastAsia" w:ascii="宋体" w:hAnsi="宋体"/>
          <w:snapToGrid w:val="0"/>
          <w:color w:val="auto"/>
          <w:szCs w:val="21"/>
          <w:highlight w:val="none"/>
          <w:u w:val="none"/>
          <w:lang w:val="en-US" w:eastAsia="zh-CN"/>
        </w:rPr>
        <w:t>0</w:t>
      </w:r>
      <w:r>
        <w:rPr>
          <w:rFonts w:hint="eastAsia" w:ascii="宋体" w:hAnsi="宋体"/>
          <w:snapToGrid w:val="0"/>
          <w:color w:val="auto"/>
          <w:szCs w:val="21"/>
          <w:highlight w:val="none"/>
          <w:u w:val="none"/>
        </w:rPr>
        <w:t>元；</w:t>
      </w:r>
    </w:p>
    <w:p>
      <w:pPr>
        <w:topLinePunct/>
        <w:spacing w:line="360" w:lineRule="auto"/>
        <w:ind w:firstLine="420" w:firstLineChars="200"/>
        <w:textAlignment w:val="baseline"/>
        <w:rPr>
          <w:rFonts w:ascii="宋体" w:hAnsi="宋体"/>
          <w:color w:val="auto"/>
          <w:highlight w:val="none"/>
          <w:u w:val="none"/>
        </w:rPr>
      </w:pPr>
      <w:r>
        <w:rPr>
          <w:rFonts w:hint="eastAsia" w:ascii="宋体" w:hAnsi="宋体"/>
          <w:color w:val="auto"/>
          <w:highlight w:val="none"/>
          <w:u w:val="none"/>
        </w:rPr>
        <w:t>本项目只接受网上报名：供应商须登陆广东省机电设备招标有限公司广咨电子招投标交易平台网站（http://www.gzebid.cn）进行注册，注册材料审核（2个工作日）通过后才可以进行网上报名并购买招标文件。有关网上登记及注册联系方式：热线电话：400-9030-870网站客服(QQ)：3151435402。）</w:t>
      </w:r>
    </w:p>
    <w:p>
      <w:pPr>
        <w:tabs>
          <w:tab w:val="left" w:pos="360"/>
        </w:tabs>
        <w:spacing w:line="360" w:lineRule="auto"/>
        <w:ind w:firstLine="420" w:firstLineChars="200"/>
        <w:rPr>
          <w:color w:val="auto"/>
          <w:szCs w:val="21"/>
          <w:highlight w:val="none"/>
          <w:u w:val="none"/>
        </w:rPr>
      </w:pPr>
      <w:r>
        <w:rPr>
          <w:rFonts w:hint="eastAsia"/>
          <w:color w:val="auto"/>
          <w:szCs w:val="21"/>
          <w:highlight w:val="none"/>
          <w:u w:val="none"/>
        </w:rPr>
        <w:t>注：</w:t>
      </w:r>
    </w:p>
    <w:p>
      <w:pPr>
        <w:tabs>
          <w:tab w:val="left" w:pos="360"/>
        </w:tabs>
        <w:spacing w:line="360" w:lineRule="auto"/>
        <w:ind w:firstLine="420" w:firstLineChars="200"/>
        <w:rPr>
          <w:color w:val="auto"/>
          <w:szCs w:val="21"/>
          <w:highlight w:val="none"/>
          <w:u w:val="none"/>
        </w:rPr>
      </w:pPr>
      <w:r>
        <w:rPr>
          <w:color w:val="auto"/>
          <w:szCs w:val="21"/>
          <w:highlight w:val="none"/>
          <w:u w:val="none"/>
        </w:rPr>
        <w:t>1</w:t>
      </w:r>
      <w:r>
        <w:rPr>
          <w:rFonts w:hint="eastAsia"/>
          <w:color w:val="auto"/>
          <w:szCs w:val="21"/>
          <w:highlight w:val="none"/>
          <w:u w:val="none"/>
        </w:rPr>
        <w:t>.</w:t>
      </w:r>
      <w:r>
        <w:rPr>
          <w:rFonts w:hint="eastAsia"/>
          <w:color w:val="auto"/>
          <w:szCs w:val="21"/>
          <w:highlight w:val="none"/>
          <w:u w:val="none"/>
          <w:lang w:val="en-US" w:eastAsia="zh-CN"/>
        </w:rPr>
        <w:t>招标代理机构</w:t>
      </w:r>
      <w:r>
        <w:rPr>
          <w:rFonts w:hint="eastAsia"/>
          <w:color w:val="auto"/>
          <w:szCs w:val="21"/>
          <w:highlight w:val="none"/>
          <w:u w:val="none"/>
        </w:rPr>
        <w:t>只开具对应金额电子增值税普通发票（电子发票将直接推送在本网站所登记的联系人手机，</w:t>
      </w:r>
      <w:r>
        <w:rPr>
          <w:color w:val="auto"/>
          <w:szCs w:val="21"/>
          <w:highlight w:val="none"/>
          <w:u w:val="none"/>
        </w:rPr>
        <w:t>联系人可在</w:t>
      </w:r>
      <w:r>
        <w:rPr>
          <w:rFonts w:hint="eastAsia"/>
          <w:color w:val="auto"/>
          <w:szCs w:val="21"/>
          <w:highlight w:val="none"/>
          <w:u w:val="none"/>
        </w:rPr>
        <w:t>投标人</w:t>
      </w:r>
      <w:r>
        <w:rPr>
          <w:color w:val="auto"/>
          <w:szCs w:val="21"/>
          <w:highlight w:val="none"/>
          <w:u w:val="none"/>
        </w:rPr>
        <w:t>系统-</w:t>
      </w:r>
      <w:r>
        <w:rPr>
          <w:rFonts w:hint="eastAsia"/>
          <w:color w:val="auto"/>
          <w:szCs w:val="21"/>
          <w:highlight w:val="none"/>
          <w:u w:val="none"/>
        </w:rPr>
        <w:t>资料</w:t>
      </w:r>
      <w:r>
        <w:rPr>
          <w:color w:val="auto"/>
          <w:szCs w:val="21"/>
          <w:highlight w:val="none"/>
          <w:u w:val="none"/>
        </w:rPr>
        <w:t>维护-</w:t>
      </w:r>
      <w:r>
        <w:rPr>
          <w:rFonts w:hint="eastAsia"/>
          <w:color w:val="auto"/>
          <w:szCs w:val="21"/>
          <w:highlight w:val="none"/>
          <w:u w:val="none"/>
        </w:rPr>
        <w:t>企业</w:t>
      </w:r>
      <w:r>
        <w:rPr>
          <w:color w:val="auto"/>
          <w:szCs w:val="21"/>
          <w:highlight w:val="none"/>
          <w:u w:val="none"/>
        </w:rPr>
        <w:t>人员列表</w:t>
      </w:r>
      <w:r>
        <w:rPr>
          <w:rFonts w:hint="eastAsia"/>
          <w:color w:val="auto"/>
          <w:szCs w:val="21"/>
          <w:highlight w:val="none"/>
          <w:u w:val="none"/>
        </w:rPr>
        <w:t>中</w:t>
      </w:r>
      <w:r>
        <w:rPr>
          <w:color w:val="auto"/>
          <w:szCs w:val="21"/>
          <w:highlight w:val="none"/>
          <w:u w:val="none"/>
        </w:rPr>
        <w:t>添加</w:t>
      </w:r>
      <w:r>
        <w:rPr>
          <w:rFonts w:hint="eastAsia"/>
          <w:color w:val="auto"/>
          <w:szCs w:val="21"/>
          <w:highlight w:val="none"/>
          <w:u w:val="none"/>
        </w:rPr>
        <w:t>后进行</w:t>
      </w:r>
      <w:r>
        <w:rPr>
          <w:color w:val="auto"/>
          <w:szCs w:val="21"/>
          <w:highlight w:val="none"/>
          <w:u w:val="none"/>
        </w:rPr>
        <w:t>关联</w:t>
      </w:r>
      <w:r>
        <w:rPr>
          <w:rFonts w:hint="eastAsia"/>
          <w:color w:val="auto"/>
          <w:szCs w:val="21"/>
          <w:highlight w:val="none"/>
          <w:u w:val="none"/>
        </w:rPr>
        <w:t>）。</w:t>
      </w:r>
    </w:p>
    <w:p>
      <w:pPr>
        <w:tabs>
          <w:tab w:val="left" w:pos="360"/>
        </w:tabs>
        <w:spacing w:line="360" w:lineRule="auto"/>
        <w:ind w:firstLine="420" w:firstLineChars="200"/>
        <w:rPr>
          <w:color w:val="auto"/>
          <w:szCs w:val="21"/>
          <w:highlight w:val="none"/>
          <w:u w:val="none"/>
        </w:rPr>
      </w:pPr>
      <w:r>
        <w:rPr>
          <w:color w:val="auto"/>
          <w:szCs w:val="21"/>
          <w:highlight w:val="none"/>
          <w:u w:val="none"/>
        </w:rPr>
        <w:t>2</w:t>
      </w:r>
      <w:r>
        <w:rPr>
          <w:rFonts w:hint="eastAsia"/>
          <w:color w:val="auto"/>
          <w:szCs w:val="21"/>
          <w:highlight w:val="none"/>
          <w:u w:val="none"/>
        </w:rPr>
        <w:t>.投标人参加投标应购买招标代理机构正式对外发售的招标文件，并在广咨电子招投标交易平台网站（http://www.gzebid.cn）办理有关报名手续后才有资格参加投标。</w:t>
      </w:r>
    </w:p>
    <w:p>
      <w:pPr>
        <w:keepNext/>
        <w:keepLines/>
        <w:spacing w:before="260" w:after="260"/>
        <w:outlineLvl w:val="1"/>
        <w:rPr>
          <w:rFonts w:ascii="宋体" w:hAnsi="宋体"/>
          <w:b/>
          <w:color w:val="auto"/>
          <w:sz w:val="32"/>
          <w:szCs w:val="20"/>
          <w:highlight w:val="none"/>
          <w:u w:val="none"/>
        </w:rPr>
      </w:pPr>
      <w:bookmarkStart w:id="24" w:name="_Toc56856838"/>
      <w:r>
        <w:rPr>
          <w:rFonts w:ascii="宋体" w:hAnsi="宋体"/>
          <w:b/>
          <w:color w:val="auto"/>
          <w:sz w:val="32"/>
          <w:szCs w:val="20"/>
          <w:highlight w:val="none"/>
          <w:u w:val="none"/>
        </w:rPr>
        <w:t xml:space="preserve">5. </w:t>
      </w:r>
      <w:r>
        <w:rPr>
          <w:rFonts w:hint="eastAsia" w:ascii="宋体" w:hAnsi="宋体"/>
          <w:b/>
          <w:color w:val="auto"/>
          <w:sz w:val="32"/>
          <w:szCs w:val="20"/>
          <w:highlight w:val="none"/>
          <w:u w:val="none"/>
        </w:rPr>
        <w:t>投标文件的递交</w:t>
      </w:r>
      <w:bookmarkEnd w:id="22"/>
      <w:bookmarkEnd w:id="23"/>
      <w:bookmarkEnd w:id="24"/>
      <w:r>
        <w:rPr>
          <w:rFonts w:hint="eastAsia" w:ascii="宋体" w:hAnsi="宋体"/>
          <w:b/>
          <w:color w:val="auto"/>
          <w:sz w:val="32"/>
          <w:szCs w:val="20"/>
          <w:highlight w:val="none"/>
          <w:u w:val="none"/>
        </w:rPr>
        <w:t>及</w:t>
      </w:r>
      <w:r>
        <w:rPr>
          <w:rFonts w:ascii="宋体" w:hAnsi="宋体"/>
          <w:b/>
          <w:color w:val="auto"/>
          <w:sz w:val="32"/>
          <w:szCs w:val="20"/>
          <w:highlight w:val="none"/>
          <w:u w:val="none"/>
        </w:rPr>
        <w:t>开标时间</w:t>
      </w:r>
    </w:p>
    <w:p>
      <w:pPr>
        <w:spacing w:line="400" w:lineRule="exact"/>
        <w:ind w:firstLine="420" w:firstLineChars="200"/>
        <w:jc w:val="left"/>
        <w:rPr>
          <w:rFonts w:ascii="宋体" w:hAnsi="宋体"/>
          <w:color w:val="auto"/>
          <w:highlight w:val="none"/>
          <w:u w:val="none"/>
        </w:rPr>
      </w:pPr>
      <w:r>
        <w:rPr>
          <w:rFonts w:hint="eastAsia" w:ascii="宋体" w:hAnsi="宋体"/>
          <w:color w:val="auto"/>
          <w:highlight w:val="none"/>
          <w:u w:val="none"/>
        </w:rPr>
        <w:t>5</w:t>
      </w:r>
      <w:r>
        <w:rPr>
          <w:rFonts w:ascii="宋体" w:hAnsi="宋体"/>
          <w:color w:val="auto"/>
          <w:highlight w:val="none"/>
          <w:u w:val="none"/>
        </w:rPr>
        <w:t>.1</w:t>
      </w:r>
      <w:r>
        <w:rPr>
          <w:rFonts w:hint="eastAsia" w:ascii="宋体" w:hAnsi="宋体"/>
          <w:color w:val="auto"/>
          <w:highlight w:val="none"/>
          <w:u w:val="none"/>
        </w:rPr>
        <w:t>投标截止时间及地点</w:t>
      </w:r>
    </w:p>
    <w:p>
      <w:pPr>
        <w:spacing w:line="400" w:lineRule="exact"/>
        <w:ind w:firstLine="840" w:firstLineChars="400"/>
        <w:jc w:val="left"/>
        <w:rPr>
          <w:rFonts w:ascii="宋体" w:hAnsi="宋体"/>
          <w:color w:val="auto"/>
          <w:highlight w:val="none"/>
          <w:u w:val="none"/>
        </w:rPr>
      </w:pPr>
      <w:r>
        <w:rPr>
          <w:rFonts w:hint="eastAsia" w:ascii="宋体" w:hAnsi="宋体"/>
          <w:color w:val="auto"/>
          <w:highlight w:val="none"/>
          <w:u w:val="none"/>
        </w:rPr>
        <w:t>投标截止时间：202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7</w:t>
      </w:r>
      <w:r>
        <w:rPr>
          <w:rFonts w:hint="eastAsia" w:ascii="宋体" w:hAnsi="宋体"/>
          <w:color w:val="auto"/>
          <w:highlight w:val="none"/>
          <w:u w:val="none"/>
        </w:rPr>
        <w:t>日</w:t>
      </w:r>
      <w:r>
        <w:rPr>
          <w:rFonts w:hint="eastAsia" w:ascii="宋体" w:hAnsi="宋体"/>
          <w:color w:val="auto"/>
          <w:highlight w:val="none"/>
          <w:u w:val="none"/>
          <w:lang w:val="en-US" w:eastAsia="zh-CN"/>
        </w:rPr>
        <w:t>9</w:t>
      </w:r>
      <w:r>
        <w:rPr>
          <w:rFonts w:hint="eastAsia" w:ascii="宋体" w:hAnsi="宋体"/>
          <w:color w:val="auto"/>
          <w:highlight w:val="none"/>
          <w:u w:val="none"/>
        </w:rPr>
        <w:t>时</w:t>
      </w:r>
      <w:r>
        <w:rPr>
          <w:rFonts w:hint="eastAsia" w:ascii="宋体" w:hAnsi="宋体"/>
          <w:color w:val="auto"/>
          <w:highlight w:val="none"/>
          <w:u w:val="none"/>
          <w:lang w:val="en-US" w:eastAsia="zh-CN"/>
        </w:rPr>
        <w:t>30</w:t>
      </w:r>
      <w:r>
        <w:rPr>
          <w:rFonts w:hint="eastAsia" w:ascii="宋体" w:hAnsi="宋体"/>
          <w:color w:val="auto"/>
          <w:highlight w:val="none"/>
          <w:u w:val="none"/>
        </w:rPr>
        <w:t>分</w:t>
      </w:r>
    </w:p>
    <w:p>
      <w:pPr>
        <w:spacing w:line="400" w:lineRule="exact"/>
        <w:ind w:firstLine="420" w:firstLineChars="200"/>
        <w:jc w:val="left"/>
        <w:rPr>
          <w:rFonts w:ascii="宋体" w:hAnsi="宋体"/>
          <w:color w:val="auto"/>
          <w:szCs w:val="21"/>
          <w:highlight w:val="none"/>
          <w:u w:val="none"/>
        </w:rPr>
      </w:pPr>
      <w:r>
        <w:rPr>
          <w:rFonts w:ascii="宋体" w:hAnsi="宋体"/>
          <w:color w:val="auto"/>
          <w:highlight w:val="none"/>
          <w:u w:val="none"/>
        </w:rPr>
        <w:t xml:space="preserve">    </w:t>
      </w:r>
      <w:r>
        <w:rPr>
          <w:rFonts w:hint="eastAsia" w:ascii="宋体" w:hAnsi="宋体"/>
          <w:color w:val="auto"/>
          <w:szCs w:val="21"/>
          <w:highlight w:val="none"/>
          <w:u w:val="none"/>
        </w:rPr>
        <w:t>地点:</w:t>
      </w:r>
      <w:r>
        <w:rPr>
          <w:rFonts w:hint="eastAsia"/>
          <w:color w:val="auto"/>
          <w:highlight w:val="none"/>
          <w:u w:val="none"/>
        </w:rPr>
        <w:t xml:space="preserve"> </w:t>
      </w:r>
      <w:r>
        <w:rPr>
          <w:rFonts w:hint="eastAsia" w:ascii="宋体" w:hAnsi="宋体"/>
          <w:color w:val="auto"/>
          <w:szCs w:val="21"/>
          <w:highlight w:val="none"/>
          <w:u w:val="none"/>
        </w:rPr>
        <w:t>深圳市光明区光明凤凰广场2栋1502会议室。</w:t>
      </w:r>
    </w:p>
    <w:p>
      <w:pPr>
        <w:spacing w:line="400" w:lineRule="exact"/>
        <w:ind w:firstLine="420" w:firstLineChars="200"/>
        <w:jc w:val="left"/>
        <w:rPr>
          <w:rFonts w:ascii="宋体" w:hAnsi="宋体"/>
          <w:color w:val="auto"/>
          <w:highlight w:val="none"/>
          <w:u w:val="none"/>
        </w:rPr>
      </w:pPr>
      <w:r>
        <w:rPr>
          <w:rFonts w:hint="eastAsia" w:ascii="宋体" w:hAnsi="宋体"/>
          <w:color w:val="auto"/>
          <w:highlight w:val="none"/>
          <w:u w:val="none"/>
        </w:rPr>
        <w:t>5.2 逾期送达的、未送达指定地点的或者不按照招标文件要求递交投标文件，招标人将予以拒收。</w:t>
      </w:r>
    </w:p>
    <w:p>
      <w:pPr>
        <w:spacing w:line="400" w:lineRule="exact"/>
        <w:ind w:firstLine="420" w:firstLineChars="200"/>
        <w:jc w:val="left"/>
        <w:rPr>
          <w:rFonts w:ascii="宋体" w:hAnsi="宋体"/>
          <w:color w:val="auto"/>
          <w:highlight w:val="none"/>
          <w:u w:val="none"/>
        </w:rPr>
      </w:pPr>
      <w:r>
        <w:rPr>
          <w:rFonts w:hint="eastAsia" w:ascii="宋体" w:hAnsi="宋体"/>
          <w:color w:val="auto"/>
          <w:highlight w:val="none"/>
          <w:u w:val="none"/>
        </w:rPr>
        <w:t>5.3开标时间</w:t>
      </w:r>
      <w:r>
        <w:rPr>
          <w:rFonts w:ascii="宋体" w:hAnsi="宋体"/>
          <w:color w:val="auto"/>
          <w:highlight w:val="none"/>
          <w:u w:val="none"/>
        </w:rPr>
        <w:t>及地点</w:t>
      </w:r>
    </w:p>
    <w:p>
      <w:pPr>
        <w:spacing w:line="400" w:lineRule="exact"/>
        <w:ind w:firstLine="840" w:firstLineChars="400"/>
        <w:jc w:val="left"/>
        <w:rPr>
          <w:rFonts w:ascii="宋体" w:hAnsi="宋体"/>
          <w:color w:val="auto"/>
          <w:highlight w:val="none"/>
          <w:u w:val="none"/>
        </w:rPr>
      </w:pPr>
      <w:r>
        <w:rPr>
          <w:rFonts w:hint="eastAsia" w:ascii="宋体" w:hAnsi="宋体"/>
          <w:color w:val="auto"/>
          <w:highlight w:val="none"/>
          <w:u w:val="none"/>
        </w:rPr>
        <w:t>开标时间：202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7</w:t>
      </w:r>
      <w:r>
        <w:rPr>
          <w:rFonts w:hint="eastAsia" w:ascii="宋体" w:hAnsi="宋体"/>
          <w:color w:val="auto"/>
          <w:highlight w:val="none"/>
          <w:u w:val="none"/>
        </w:rPr>
        <w:t>日</w:t>
      </w:r>
      <w:r>
        <w:rPr>
          <w:rFonts w:hint="eastAsia" w:ascii="宋体" w:hAnsi="宋体"/>
          <w:color w:val="auto"/>
          <w:highlight w:val="none"/>
          <w:u w:val="none"/>
          <w:lang w:val="en-US" w:eastAsia="zh-CN"/>
        </w:rPr>
        <w:t>9</w:t>
      </w:r>
      <w:r>
        <w:rPr>
          <w:rFonts w:hint="eastAsia" w:ascii="宋体" w:hAnsi="宋体"/>
          <w:color w:val="auto"/>
          <w:highlight w:val="none"/>
          <w:u w:val="none"/>
        </w:rPr>
        <w:t>时</w:t>
      </w:r>
      <w:r>
        <w:rPr>
          <w:rFonts w:hint="eastAsia" w:ascii="宋体" w:hAnsi="宋体"/>
          <w:color w:val="auto"/>
          <w:highlight w:val="none"/>
          <w:u w:val="none"/>
          <w:lang w:val="en-US" w:eastAsia="zh-CN"/>
        </w:rPr>
        <w:t>30</w:t>
      </w:r>
      <w:r>
        <w:rPr>
          <w:rFonts w:hint="eastAsia" w:ascii="宋体" w:hAnsi="宋体"/>
          <w:color w:val="auto"/>
          <w:highlight w:val="none"/>
          <w:u w:val="none"/>
        </w:rPr>
        <w:t>分</w:t>
      </w:r>
    </w:p>
    <w:p>
      <w:pPr>
        <w:spacing w:line="400" w:lineRule="exact"/>
        <w:ind w:firstLine="420" w:firstLineChars="200"/>
        <w:jc w:val="left"/>
        <w:rPr>
          <w:rFonts w:hint="eastAsia" w:ascii="宋体" w:hAnsi="宋体"/>
          <w:color w:val="auto"/>
          <w:szCs w:val="21"/>
          <w:highlight w:val="none"/>
          <w:u w:val="none"/>
        </w:rPr>
      </w:pPr>
      <w:r>
        <w:rPr>
          <w:rFonts w:ascii="宋体" w:hAnsi="宋体"/>
          <w:color w:val="auto"/>
          <w:highlight w:val="none"/>
          <w:u w:val="none"/>
        </w:rPr>
        <w:t xml:space="preserve">    </w:t>
      </w:r>
      <w:r>
        <w:rPr>
          <w:rFonts w:hint="eastAsia" w:ascii="宋体" w:hAnsi="宋体"/>
          <w:color w:val="auto"/>
          <w:highlight w:val="none"/>
          <w:u w:val="none"/>
        </w:rPr>
        <w:t>开标地点：</w:t>
      </w:r>
      <w:r>
        <w:rPr>
          <w:rFonts w:hint="eastAsia" w:ascii="宋体" w:hAnsi="宋体"/>
          <w:color w:val="auto"/>
          <w:szCs w:val="21"/>
          <w:highlight w:val="none"/>
          <w:u w:val="none"/>
        </w:rPr>
        <w:t xml:space="preserve"> 深圳市光明区光明凤凰广场2栋1502会议室。</w:t>
      </w:r>
    </w:p>
    <w:p>
      <w:pPr>
        <w:spacing w:line="400" w:lineRule="exact"/>
        <w:ind w:firstLine="420" w:firstLineChars="200"/>
        <w:jc w:val="left"/>
        <w:rPr>
          <w:rFonts w:hint="default" w:ascii="宋体" w:hAnsi="宋体" w:eastAsia="宋体"/>
          <w:color w:val="auto"/>
          <w:highlight w:val="none"/>
          <w:lang w:val="en-US" w:eastAsia="zh-CN"/>
        </w:rPr>
      </w:pPr>
      <w:r>
        <w:rPr>
          <w:rFonts w:hint="eastAsia" w:ascii="宋体" w:hAnsi="宋体"/>
          <w:color w:val="auto"/>
          <w:highlight w:val="none"/>
          <w:lang w:val="en-US" w:eastAsia="zh-CN"/>
        </w:rPr>
        <w:t>5.4本项目投标人代表可到现场亲自递交纸质版投标文件或通过邮寄纸质投标文件的方式递交(需在投标截止时间前送达)。邮递地址：深圳市光明区光明凤凰广场2栋1502室，收件人：袁工，联系电话：18028725952</w:t>
      </w:r>
    </w:p>
    <w:p>
      <w:pPr>
        <w:keepNext/>
        <w:keepLines/>
        <w:spacing w:before="260" w:after="260"/>
        <w:outlineLvl w:val="1"/>
        <w:rPr>
          <w:rFonts w:ascii="宋体" w:hAnsi="宋体"/>
          <w:b/>
          <w:color w:val="auto"/>
          <w:sz w:val="32"/>
          <w:szCs w:val="20"/>
          <w:highlight w:val="none"/>
          <w:u w:val="none"/>
        </w:rPr>
      </w:pPr>
      <w:bookmarkStart w:id="25" w:name="_Toc56856839"/>
      <w:bookmarkStart w:id="26" w:name="_Toc38791398"/>
      <w:bookmarkStart w:id="27" w:name="_Toc6557030"/>
      <w:r>
        <w:rPr>
          <w:rFonts w:ascii="宋体" w:hAnsi="宋体"/>
          <w:b/>
          <w:color w:val="auto"/>
          <w:sz w:val="32"/>
          <w:szCs w:val="20"/>
          <w:highlight w:val="none"/>
          <w:u w:val="none"/>
        </w:rPr>
        <w:t xml:space="preserve">6. </w:t>
      </w:r>
      <w:r>
        <w:rPr>
          <w:rFonts w:hint="eastAsia" w:ascii="宋体" w:hAnsi="宋体"/>
          <w:b/>
          <w:color w:val="auto"/>
          <w:sz w:val="32"/>
          <w:szCs w:val="20"/>
          <w:highlight w:val="none"/>
          <w:u w:val="none"/>
        </w:rPr>
        <w:t>发布公告的媒介</w:t>
      </w:r>
      <w:bookmarkEnd w:id="25"/>
      <w:bookmarkEnd w:id="26"/>
      <w:bookmarkEnd w:id="27"/>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本次招标公告同时在</w:t>
      </w:r>
      <w:r>
        <w:rPr>
          <w:rFonts w:hint="eastAsia" w:ascii="宋体" w:hAnsi="宋体"/>
          <w:color w:val="auto"/>
          <w:highlight w:val="none"/>
          <w:u w:val="none"/>
          <w:lang w:eastAsia="zh-CN"/>
        </w:rPr>
        <w:t>广东省机电设备招标有限公司</w:t>
      </w:r>
      <w:r>
        <w:rPr>
          <w:rFonts w:hint="eastAsia" w:ascii="宋体" w:hAnsi="宋体"/>
          <w:color w:val="auto"/>
          <w:highlight w:val="none"/>
          <w:u w:val="none"/>
        </w:rPr>
        <w:t>广咨电子招投标交易平台网站（http://www.gzebid.cn）、中国招标投标公共服务平台（网址：http://www.cebpubservice.com/）和深圳交易集团宝安分公司（https://ba.szexgrp.com/home/index.html）网上发布。本公告的修改、补充，在广咨电子招投标交易平台</w:t>
      </w:r>
      <w:r>
        <w:rPr>
          <w:rFonts w:hint="eastAsia" w:ascii="宋体" w:hAnsi="宋体"/>
          <w:color w:val="auto"/>
          <w:highlight w:val="none"/>
          <w:u w:val="none"/>
          <w:lang w:val="en-US" w:eastAsia="zh-CN"/>
        </w:rPr>
        <w:t>和</w:t>
      </w:r>
      <w:r>
        <w:rPr>
          <w:rFonts w:hint="eastAsia" w:ascii="宋体" w:hAnsi="宋体"/>
          <w:color w:val="auto"/>
          <w:highlight w:val="none"/>
          <w:u w:val="none"/>
        </w:rPr>
        <w:t>深圳交易集团宝安分公司网站发布。供应商须提前在交易集团自行采购系统进行注册激活，以免影响后期系统结果录入。（注册链接：https://trade.szggzy.com/ggzy/center/#/register）</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发布招标公告开始日期（含本日）为：</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20</w:t>
      </w:r>
      <w:r>
        <w:rPr>
          <w:rFonts w:ascii="宋体" w:hAnsi="宋体"/>
          <w:color w:val="auto"/>
          <w:highlight w:val="none"/>
          <w:u w:val="none"/>
        </w:rPr>
        <w:t>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3</w:t>
      </w:r>
      <w:r>
        <w:rPr>
          <w:rFonts w:hint="eastAsia" w:ascii="宋体" w:hAnsi="宋体"/>
          <w:color w:val="auto"/>
          <w:highlight w:val="none"/>
          <w:u w:val="none"/>
        </w:rPr>
        <w:t>月</w:t>
      </w:r>
      <w:r>
        <w:rPr>
          <w:rFonts w:hint="eastAsia" w:ascii="宋体" w:hAnsi="宋体"/>
          <w:color w:val="auto"/>
          <w:highlight w:val="none"/>
          <w:u w:val="none"/>
          <w:lang w:val="en-US" w:eastAsia="zh-CN"/>
        </w:rPr>
        <w:t>19</w:t>
      </w:r>
      <w:r>
        <w:rPr>
          <w:rFonts w:hint="eastAsia" w:ascii="宋体" w:hAnsi="宋体"/>
          <w:color w:val="auto"/>
          <w:highlight w:val="none"/>
          <w:u w:val="none"/>
        </w:rPr>
        <w:t>日；</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发布招标公告截止日期（含本日）为：</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202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7</w:t>
      </w:r>
      <w:r>
        <w:rPr>
          <w:rFonts w:hint="eastAsia" w:ascii="宋体" w:hAnsi="宋体"/>
          <w:color w:val="auto"/>
          <w:highlight w:val="none"/>
          <w:u w:val="none"/>
        </w:rPr>
        <w:t>日；</w:t>
      </w:r>
    </w:p>
    <w:p>
      <w:pPr>
        <w:spacing w:line="400" w:lineRule="exact"/>
        <w:ind w:firstLine="420" w:firstLineChars="200"/>
        <w:rPr>
          <w:rFonts w:ascii="宋体" w:hAnsi="宋体"/>
          <w:color w:val="auto"/>
          <w:highlight w:val="none"/>
          <w:u w:val="none"/>
        </w:rPr>
      </w:pPr>
      <w:r>
        <w:rPr>
          <w:rFonts w:hint="eastAsia" w:ascii="宋体" w:hAnsi="宋体"/>
          <w:color w:val="auto"/>
          <w:highlight w:val="none"/>
          <w:u w:val="none"/>
        </w:rPr>
        <w:t>注：发布招标公告的时间为招标公告发出之日起至投标截止时间止。</w:t>
      </w:r>
    </w:p>
    <w:p>
      <w:pPr>
        <w:keepNext/>
        <w:keepLines/>
        <w:spacing w:before="260" w:after="260"/>
        <w:outlineLvl w:val="1"/>
        <w:rPr>
          <w:rFonts w:ascii="宋体" w:hAnsi="宋体"/>
          <w:b/>
          <w:color w:val="auto"/>
          <w:sz w:val="32"/>
          <w:szCs w:val="20"/>
          <w:highlight w:val="none"/>
          <w:u w:val="none"/>
        </w:rPr>
      </w:pPr>
      <w:bookmarkStart w:id="28" w:name="_Toc56856840"/>
      <w:r>
        <w:rPr>
          <w:rFonts w:ascii="宋体" w:hAnsi="宋体"/>
          <w:b/>
          <w:color w:val="auto"/>
          <w:sz w:val="32"/>
          <w:szCs w:val="20"/>
          <w:highlight w:val="none"/>
          <w:u w:val="none"/>
        </w:rPr>
        <w:t xml:space="preserve">7. </w:t>
      </w:r>
      <w:r>
        <w:rPr>
          <w:rFonts w:hint="eastAsia" w:ascii="宋体" w:hAnsi="宋体"/>
          <w:b/>
          <w:color w:val="auto"/>
          <w:sz w:val="32"/>
          <w:szCs w:val="20"/>
          <w:highlight w:val="none"/>
          <w:u w:val="none"/>
        </w:rPr>
        <w:t>其他</w:t>
      </w:r>
      <w:bookmarkEnd w:id="28"/>
    </w:p>
    <w:p>
      <w:pPr>
        <w:spacing w:line="400" w:lineRule="exact"/>
        <w:ind w:firstLine="420" w:firstLineChars="200"/>
        <w:jc w:val="left"/>
        <w:rPr>
          <w:rFonts w:ascii="宋体" w:hAnsi="宋体"/>
          <w:color w:val="auto"/>
          <w:highlight w:val="none"/>
          <w:u w:val="none"/>
        </w:rPr>
      </w:pPr>
      <w:r>
        <w:rPr>
          <w:rFonts w:hint="eastAsia" w:ascii="宋体" w:hAnsi="宋体"/>
          <w:color w:val="auto"/>
          <w:highlight w:val="none"/>
          <w:u w:val="none"/>
        </w:rPr>
        <w:t>若本项目递交投标文件的投标人或通过初步评审的投标人不足3名，该项目招标失败。招标人分析招标失败原因，修正招标方案，报有关管理部门核准后，重新组织招标。</w:t>
      </w:r>
    </w:p>
    <w:p>
      <w:pPr>
        <w:keepNext/>
        <w:keepLines/>
        <w:spacing w:before="260" w:after="260"/>
        <w:outlineLvl w:val="1"/>
        <w:rPr>
          <w:rFonts w:ascii="宋体" w:hAnsi="宋体"/>
          <w:b/>
          <w:color w:val="auto"/>
          <w:sz w:val="32"/>
          <w:szCs w:val="20"/>
          <w:highlight w:val="none"/>
          <w:u w:val="none"/>
        </w:rPr>
      </w:pPr>
      <w:bookmarkStart w:id="29" w:name="_Toc56856841"/>
      <w:bookmarkStart w:id="30" w:name="_Toc38791399"/>
      <w:bookmarkStart w:id="31" w:name="_Toc6557031"/>
      <w:r>
        <w:rPr>
          <w:rFonts w:ascii="宋体" w:hAnsi="宋体"/>
          <w:b/>
          <w:color w:val="auto"/>
          <w:sz w:val="32"/>
          <w:szCs w:val="20"/>
          <w:highlight w:val="none"/>
          <w:u w:val="none"/>
        </w:rPr>
        <w:t xml:space="preserve">8. </w:t>
      </w:r>
      <w:r>
        <w:rPr>
          <w:rFonts w:hint="eastAsia" w:ascii="宋体" w:hAnsi="宋体"/>
          <w:b/>
          <w:color w:val="auto"/>
          <w:sz w:val="32"/>
          <w:szCs w:val="20"/>
          <w:highlight w:val="none"/>
          <w:u w:val="none"/>
        </w:rPr>
        <w:t>联系方式</w:t>
      </w:r>
      <w:bookmarkEnd w:id="29"/>
      <w:bookmarkEnd w:id="30"/>
      <w:bookmarkEnd w:id="31"/>
    </w:p>
    <w:p>
      <w:pPr>
        <w:topLinePunct/>
        <w:spacing w:line="400" w:lineRule="exact"/>
        <w:ind w:firstLine="420" w:firstLineChars="200"/>
        <w:rPr>
          <w:rFonts w:ascii="宋体" w:hAnsi="宋体"/>
          <w:color w:val="auto"/>
          <w:highlight w:val="none"/>
          <w:u w:val="none"/>
        </w:rPr>
      </w:pPr>
      <w:bookmarkStart w:id="32" w:name="_Toc247513934"/>
      <w:bookmarkEnd w:id="32"/>
      <w:bookmarkStart w:id="33" w:name="_Toc352691456"/>
      <w:bookmarkEnd w:id="33"/>
      <w:bookmarkStart w:id="34" w:name="_Toc300834930"/>
      <w:bookmarkEnd w:id="34"/>
      <w:bookmarkStart w:id="35" w:name="_Toc152042289"/>
      <w:bookmarkEnd w:id="35"/>
      <w:bookmarkStart w:id="36" w:name="_Toc152045513"/>
      <w:bookmarkEnd w:id="36"/>
      <w:bookmarkStart w:id="37" w:name="_Toc30817"/>
      <w:bookmarkEnd w:id="37"/>
      <w:bookmarkStart w:id="38" w:name="_Toc152042288"/>
      <w:bookmarkEnd w:id="38"/>
      <w:bookmarkStart w:id="39" w:name="_Toc369531497"/>
      <w:bookmarkEnd w:id="39"/>
      <w:bookmarkStart w:id="40" w:name="_Toc352691455"/>
      <w:bookmarkEnd w:id="40"/>
      <w:bookmarkStart w:id="41" w:name="_Toc144974480"/>
      <w:bookmarkEnd w:id="41"/>
      <w:bookmarkStart w:id="42" w:name="_Toc144974481"/>
      <w:bookmarkEnd w:id="42"/>
      <w:bookmarkStart w:id="43" w:name="_Toc10785"/>
      <w:bookmarkEnd w:id="43"/>
      <w:bookmarkStart w:id="44" w:name="_Toc247527535"/>
      <w:bookmarkEnd w:id="44"/>
      <w:bookmarkStart w:id="45" w:name="_Toc361508560"/>
      <w:bookmarkEnd w:id="45"/>
      <w:bookmarkStart w:id="46" w:name="_Toc152045512"/>
      <w:bookmarkEnd w:id="46"/>
      <w:bookmarkStart w:id="47" w:name="_Toc247513935"/>
      <w:bookmarkEnd w:id="47"/>
      <w:bookmarkStart w:id="48" w:name="_Toc369531495"/>
      <w:bookmarkEnd w:id="48"/>
      <w:bookmarkStart w:id="49" w:name="_Toc300834927"/>
      <w:bookmarkEnd w:id="49"/>
      <w:bookmarkStart w:id="50" w:name="_Toc352691453"/>
      <w:bookmarkEnd w:id="50"/>
      <w:bookmarkStart w:id="51" w:name="_Toc384308185"/>
      <w:bookmarkEnd w:id="51"/>
      <w:bookmarkStart w:id="52" w:name="_Toc361508562"/>
      <w:bookmarkEnd w:id="52"/>
      <w:bookmarkStart w:id="53" w:name="_Toc247527536"/>
      <w:bookmarkEnd w:id="53"/>
      <w:bookmarkStart w:id="54" w:name="_Toc369531498"/>
      <w:bookmarkEnd w:id="54"/>
      <w:bookmarkStart w:id="55" w:name="_Toc384308187"/>
      <w:bookmarkEnd w:id="55"/>
      <w:bookmarkStart w:id="56" w:name="_Toc300834929"/>
      <w:bookmarkEnd w:id="56"/>
      <w:bookmarkStart w:id="57" w:name="_Toc17972"/>
      <w:bookmarkEnd w:id="57"/>
      <w:bookmarkStart w:id="58" w:name="_Toc361508563"/>
      <w:bookmarkEnd w:id="58"/>
      <w:bookmarkStart w:id="59" w:name="_Toc384308188"/>
      <w:bookmarkEnd w:id="59"/>
      <w:r>
        <w:rPr>
          <w:rFonts w:ascii="宋体" w:hAnsi="宋体"/>
          <w:color w:val="auto"/>
          <w:highlight w:val="none"/>
          <w:u w:val="none"/>
        </w:rPr>
        <w:t>招 标 人：</w:t>
      </w:r>
      <w:r>
        <w:rPr>
          <w:rFonts w:hint="eastAsia" w:ascii="宋体" w:hAnsi="宋体"/>
          <w:color w:val="auto"/>
          <w:highlight w:val="none"/>
          <w:u w:val="none"/>
        </w:rPr>
        <w:t xml:space="preserve">深圳市宝安湾环境科技发展有限公司  </w:t>
      </w:r>
    </w:p>
    <w:p>
      <w:pPr>
        <w:topLinePunct/>
        <w:spacing w:line="400" w:lineRule="exact"/>
        <w:ind w:firstLine="420" w:firstLineChars="200"/>
        <w:rPr>
          <w:rFonts w:ascii="宋体" w:hAnsi="宋体"/>
          <w:color w:val="auto"/>
          <w:highlight w:val="none"/>
          <w:u w:val="none"/>
        </w:rPr>
      </w:pPr>
      <w:r>
        <w:rPr>
          <w:rFonts w:ascii="宋体" w:hAnsi="宋体"/>
          <w:color w:val="auto"/>
          <w:highlight w:val="none"/>
          <w:u w:val="none"/>
        </w:rPr>
        <w:t>地    址：</w:t>
      </w:r>
      <w:r>
        <w:rPr>
          <w:rFonts w:hint="eastAsia" w:ascii="宋体" w:hAnsi="宋体" w:cs="宋体"/>
          <w:bCs/>
          <w:color w:val="auto"/>
          <w:kern w:val="0"/>
          <w:szCs w:val="21"/>
          <w:highlight w:val="none"/>
          <w:u w:val="none"/>
        </w:rPr>
        <w:t>深圳市宝安区松岗街道江边社区江碧环保科技创新产业园</w:t>
      </w:r>
    </w:p>
    <w:p>
      <w:pPr>
        <w:topLinePunct/>
        <w:spacing w:line="400" w:lineRule="exact"/>
        <w:ind w:firstLine="420" w:firstLineChars="200"/>
        <w:rPr>
          <w:rFonts w:ascii="宋体" w:hAnsi="宋体"/>
          <w:color w:val="auto"/>
          <w:highlight w:val="none"/>
          <w:u w:val="none"/>
        </w:rPr>
      </w:pPr>
      <w:r>
        <w:rPr>
          <w:rFonts w:ascii="宋体" w:hAnsi="宋体"/>
          <w:color w:val="auto"/>
          <w:highlight w:val="none"/>
          <w:u w:val="none"/>
        </w:rPr>
        <w:t>联 系 人：</w:t>
      </w:r>
      <w:r>
        <w:rPr>
          <w:rFonts w:hint="eastAsia" w:ascii="宋体" w:hAnsi="宋体"/>
          <w:color w:val="auto"/>
          <w:highlight w:val="none"/>
          <w:u w:val="none"/>
          <w:lang w:val="en-US" w:eastAsia="zh-CN"/>
        </w:rPr>
        <w:t xml:space="preserve"> 高工</w:t>
      </w:r>
    </w:p>
    <w:p>
      <w:pPr>
        <w:topLinePunct/>
        <w:spacing w:line="400" w:lineRule="exact"/>
        <w:ind w:firstLine="420" w:firstLineChars="200"/>
        <w:rPr>
          <w:rFonts w:hint="default" w:ascii="宋体" w:hAnsi="宋体" w:eastAsia="宋体"/>
          <w:color w:val="auto"/>
          <w:highlight w:val="none"/>
          <w:u w:val="none"/>
          <w:lang w:val="en-US" w:eastAsia="zh-CN"/>
        </w:rPr>
      </w:pPr>
      <w:r>
        <w:rPr>
          <w:rFonts w:ascii="宋体" w:hAnsi="宋体"/>
          <w:color w:val="auto"/>
          <w:highlight w:val="none"/>
          <w:u w:val="none"/>
        </w:rPr>
        <w:t>电    话：</w:t>
      </w:r>
      <w:r>
        <w:rPr>
          <w:rFonts w:hint="eastAsia" w:ascii="宋体" w:hAnsi="宋体" w:cs="宋体"/>
          <w:bCs/>
          <w:color w:val="auto"/>
          <w:kern w:val="0"/>
          <w:szCs w:val="21"/>
          <w:highlight w:val="none"/>
          <w:u w:val="none"/>
          <w:lang w:val="en-US" w:eastAsia="zh-CN"/>
        </w:rPr>
        <w:t xml:space="preserve"> 13724269640</w:t>
      </w:r>
    </w:p>
    <w:p>
      <w:pPr>
        <w:topLinePunct/>
        <w:spacing w:line="400" w:lineRule="exact"/>
        <w:ind w:firstLine="420" w:firstLineChars="200"/>
        <w:rPr>
          <w:rFonts w:ascii="宋体" w:hAnsi="宋体"/>
          <w:color w:val="auto"/>
          <w:highlight w:val="none"/>
          <w:u w:val="none"/>
        </w:rPr>
      </w:pPr>
    </w:p>
    <w:p>
      <w:pPr>
        <w:topLinePunct/>
        <w:spacing w:line="400" w:lineRule="exact"/>
        <w:ind w:firstLine="420" w:firstLineChars="200"/>
        <w:rPr>
          <w:rFonts w:hint="eastAsia" w:ascii="宋体" w:hAnsi="宋体" w:eastAsia="宋体"/>
          <w:color w:val="auto"/>
          <w:highlight w:val="none"/>
          <w:u w:val="none"/>
          <w:lang w:eastAsia="zh-CN"/>
        </w:rPr>
      </w:pPr>
      <w:r>
        <w:rPr>
          <w:rFonts w:hint="eastAsia" w:ascii="宋体" w:hAnsi="宋体"/>
          <w:color w:val="auto"/>
          <w:highlight w:val="none"/>
          <w:u w:val="none"/>
        </w:rPr>
        <w:t>招标代理机构</w:t>
      </w:r>
      <w:r>
        <w:rPr>
          <w:rFonts w:ascii="宋体" w:hAnsi="宋体"/>
          <w:color w:val="auto"/>
          <w:highlight w:val="none"/>
          <w:u w:val="none"/>
        </w:rPr>
        <w:t>：</w:t>
      </w:r>
      <w:r>
        <w:rPr>
          <w:rFonts w:hint="eastAsia" w:ascii="宋体" w:hAnsi="宋体"/>
          <w:color w:val="auto"/>
          <w:highlight w:val="none"/>
          <w:u w:val="none"/>
          <w:lang w:eastAsia="zh-CN"/>
        </w:rPr>
        <w:t>广东省机电设备招标有限公司</w:t>
      </w:r>
    </w:p>
    <w:p>
      <w:pPr>
        <w:topLinePunct/>
        <w:spacing w:line="400" w:lineRule="exact"/>
        <w:ind w:firstLine="420" w:firstLineChars="200"/>
        <w:rPr>
          <w:rFonts w:hint="eastAsia" w:eastAsia="宋体" w:cs="Times New Roman"/>
          <w:color w:val="auto"/>
          <w:highlight w:val="none"/>
          <w:u w:val="none"/>
        </w:rPr>
      </w:pPr>
      <w:r>
        <w:rPr>
          <w:rFonts w:hint="eastAsia" w:eastAsia="宋体" w:cs="Times New Roman"/>
          <w:color w:val="auto"/>
          <w:highlight w:val="none"/>
          <w:u w:val="none"/>
        </w:rPr>
        <w:t>地    址： 深圳市光明区光明凤凰广场2栋1502会议室</w:t>
      </w:r>
    </w:p>
    <w:p>
      <w:pPr>
        <w:topLinePunct/>
        <w:spacing w:line="400" w:lineRule="exact"/>
        <w:ind w:firstLine="420" w:firstLineChars="200"/>
        <w:rPr>
          <w:rFonts w:hint="eastAsia" w:eastAsia="宋体" w:cs="Times New Roman"/>
          <w:color w:val="auto"/>
          <w:highlight w:val="none"/>
          <w:u w:val="none"/>
        </w:rPr>
      </w:pPr>
      <w:bookmarkStart w:id="60" w:name="_Toc6557032"/>
      <w:bookmarkStart w:id="61" w:name="_Toc38791400"/>
      <w:bookmarkStart w:id="62" w:name="_Toc56856842"/>
      <w:bookmarkStart w:id="63" w:name="_Toc525218620"/>
      <w:r>
        <w:rPr>
          <w:rFonts w:hint="eastAsia" w:eastAsia="宋体" w:cs="Times New Roman"/>
          <w:color w:val="auto"/>
          <w:highlight w:val="none"/>
          <w:u w:val="none"/>
        </w:rPr>
        <w:t>联系人：袁赛、邹志鹏、李浩津、汪磊、杨琦</w:t>
      </w:r>
    </w:p>
    <w:p>
      <w:pPr>
        <w:topLinePunct/>
        <w:spacing w:line="400" w:lineRule="exact"/>
        <w:ind w:firstLine="420" w:firstLineChars="200"/>
        <w:rPr>
          <w:rFonts w:hint="eastAsia" w:eastAsia="宋体" w:cs="Times New Roman"/>
          <w:color w:val="auto"/>
          <w:highlight w:val="none"/>
          <w:u w:val="none"/>
        </w:rPr>
      </w:pPr>
      <w:r>
        <w:rPr>
          <w:rFonts w:hint="eastAsia" w:eastAsia="宋体" w:cs="Times New Roman"/>
          <w:color w:val="auto"/>
          <w:highlight w:val="none"/>
          <w:u w:val="none"/>
        </w:rPr>
        <w:t>邮箱：yuans@greatgz.cn</w:t>
      </w:r>
    </w:p>
    <w:p>
      <w:pPr>
        <w:topLinePunct/>
        <w:spacing w:line="400" w:lineRule="exact"/>
        <w:ind w:firstLine="420" w:firstLineChars="200"/>
        <w:rPr>
          <w:rFonts w:hint="eastAsia" w:eastAsia="宋体" w:cs="Times New Roman"/>
          <w:color w:val="auto"/>
          <w:highlight w:val="none"/>
          <w:u w:val="none"/>
        </w:rPr>
      </w:pPr>
      <w:r>
        <w:rPr>
          <w:rFonts w:hint="eastAsia" w:eastAsia="宋体" w:cs="Times New Roman"/>
          <w:color w:val="auto"/>
          <w:highlight w:val="none"/>
          <w:u w:val="none"/>
        </w:rPr>
        <w:t>电话：0755-23915154,18028725952/13682600292</w:t>
      </w:r>
    </w:p>
    <w:p>
      <w:pPr>
        <w:topLinePunct/>
        <w:spacing w:line="400" w:lineRule="exact"/>
        <w:ind w:firstLine="420" w:firstLineChars="200"/>
        <w:rPr>
          <w:rFonts w:hint="eastAsia" w:eastAsia="宋体" w:cs="Times New Roman"/>
          <w:color w:val="auto"/>
          <w:highlight w:val="none"/>
          <w:u w:val="none"/>
        </w:rPr>
      </w:pPr>
    </w:p>
    <w:p>
      <w:pPr>
        <w:topLinePunct/>
        <w:spacing w:line="400" w:lineRule="exact"/>
        <w:ind w:firstLine="420" w:firstLineChars="200"/>
        <w:rPr>
          <w:rFonts w:ascii="宋体" w:hAnsi="宋体"/>
          <w:color w:val="auto"/>
          <w:kern w:val="0"/>
          <w:sz w:val="24"/>
          <w:szCs w:val="20"/>
          <w:highlight w:val="none"/>
          <w:u w:val="none"/>
        </w:rPr>
      </w:pPr>
      <w:r>
        <w:rPr>
          <w:rFonts w:hint="eastAsia" w:eastAsia="宋体" w:cs="Times New Roman"/>
          <w:color w:val="auto"/>
          <w:highlight w:val="none"/>
          <w:u w:val="none"/>
        </w:rPr>
        <w:t>附</w:t>
      </w:r>
      <w:r>
        <w:rPr>
          <w:rFonts w:hint="eastAsia" w:ascii="宋体" w:hAnsi="宋体"/>
          <w:color w:val="auto"/>
          <w:kern w:val="0"/>
          <w:sz w:val="24"/>
          <w:szCs w:val="20"/>
          <w:highlight w:val="none"/>
          <w:u w:val="none"/>
        </w:rPr>
        <w:t>件：</w:t>
      </w:r>
      <w:bookmarkEnd w:id="60"/>
      <w:bookmarkEnd w:id="61"/>
      <w:bookmarkEnd w:id="62"/>
      <w:bookmarkEnd w:id="63"/>
    </w:p>
    <w:p>
      <w:pPr>
        <w:spacing w:line="360" w:lineRule="auto"/>
        <w:ind w:right="-57" w:rightChars="-27" w:firstLine="493" w:firstLineChars="235"/>
        <w:rPr>
          <w:rFonts w:ascii="宋体" w:hAnsi="宋体"/>
          <w:color w:val="auto"/>
          <w:szCs w:val="21"/>
          <w:highlight w:val="none"/>
          <w:u w:val="none"/>
        </w:rPr>
      </w:pPr>
      <w:r>
        <w:rPr>
          <w:rFonts w:hint="eastAsia" w:ascii="宋体" w:hAnsi="宋体"/>
          <w:color w:val="auto"/>
          <w:szCs w:val="21"/>
          <w:highlight w:val="none"/>
          <w:u w:val="none"/>
        </w:rPr>
        <w:t>一、投标申请人声明</w:t>
      </w:r>
    </w:p>
    <w:p>
      <w:pPr>
        <w:spacing w:line="400" w:lineRule="exact"/>
        <w:ind w:right="210" w:firstLine="420" w:firstLineChars="200"/>
        <w:jc w:val="right"/>
        <w:rPr>
          <w:rFonts w:ascii="宋体" w:hAnsi="宋体"/>
          <w:color w:val="auto"/>
          <w:highlight w:val="none"/>
          <w:u w:val="none"/>
        </w:rPr>
      </w:pPr>
      <w:r>
        <w:rPr>
          <w:rFonts w:hint="eastAsia" w:ascii="宋体" w:hAnsi="宋体"/>
          <w:color w:val="auto"/>
          <w:highlight w:val="none"/>
          <w:u w:val="none"/>
        </w:rPr>
        <w:t xml:space="preserve"> </w:t>
      </w:r>
      <w:r>
        <w:rPr>
          <w:rFonts w:ascii="宋体" w:hAnsi="宋体"/>
          <w:color w:val="auto"/>
          <w:highlight w:val="none"/>
          <w:u w:val="none"/>
        </w:rPr>
        <w:t>202</w:t>
      </w:r>
      <w:r>
        <w:rPr>
          <w:rFonts w:hint="eastAsia" w:ascii="宋体" w:hAnsi="宋体"/>
          <w:color w:val="auto"/>
          <w:highlight w:val="none"/>
          <w:u w:val="none"/>
          <w:lang w:val="en-US" w:eastAsia="zh-CN"/>
        </w:rPr>
        <w:t>6</w:t>
      </w:r>
      <w:r>
        <w:rPr>
          <w:rFonts w:ascii="宋体" w:hAnsi="宋体"/>
          <w:color w:val="auto"/>
          <w:highlight w:val="none"/>
          <w:u w:val="none"/>
        </w:rPr>
        <w:t>年</w:t>
      </w:r>
      <w:r>
        <w:rPr>
          <w:rFonts w:hint="eastAsia" w:ascii="宋体" w:hAnsi="宋体"/>
          <w:color w:val="auto"/>
          <w:highlight w:val="none"/>
          <w:u w:val="none"/>
          <w:lang w:val="en-US" w:eastAsia="zh-CN"/>
        </w:rPr>
        <w:t>3</w:t>
      </w:r>
      <w:r>
        <w:rPr>
          <w:rFonts w:ascii="宋体" w:hAnsi="宋体"/>
          <w:color w:val="auto"/>
          <w:highlight w:val="none"/>
          <w:u w:val="none"/>
        </w:rPr>
        <w:t>月</w:t>
      </w:r>
      <w:r>
        <w:rPr>
          <w:rFonts w:hint="eastAsia" w:ascii="宋体" w:hAnsi="宋体"/>
          <w:color w:val="auto"/>
          <w:highlight w:val="none"/>
          <w:u w:val="none"/>
          <w:lang w:val="en-US" w:eastAsia="zh-CN"/>
        </w:rPr>
        <w:t>19</w:t>
      </w:r>
      <w:r>
        <w:rPr>
          <w:rFonts w:ascii="宋体" w:hAnsi="宋体"/>
          <w:color w:val="auto"/>
          <w:highlight w:val="none"/>
          <w:u w:val="none"/>
        </w:rPr>
        <w:t>日</w:t>
      </w:r>
    </w:p>
    <w:p>
      <w:pPr>
        <w:widowControl/>
        <w:jc w:val="left"/>
        <w:rPr>
          <w:rFonts w:ascii="宋体" w:hAnsi="宋体"/>
        </w:rPr>
      </w:pPr>
      <w:r>
        <w:rPr>
          <w:rFonts w:ascii="宋体" w:hAnsi="宋体"/>
        </w:rPr>
        <w:br w:type="page"/>
      </w:r>
    </w:p>
    <w:p>
      <w:pPr>
        <w:ind w:right="-57" w:rightChars="-27"/>
        <w:rPr>
          <w:rFonts w:ascii="宋体" w:hAnsi="宋体"/>
          <w:b/>
          <w:szCs w:val="21"/>
        </w:rPr>
      </w:pPr>
      <w:r>
        <w:rPr>
          <w:rFonts w:hint="eastAsia" w:ascii="宋体" w:hAnsi="宋体"/>
          <w:b/>
          <w:szCs w:val="21"/>
        </w:rPr>
        <w:t>附件一：</w:t>
      </w:r>
    </w:p>
    <w:p>
      <w:pPr>
        <w:ind w:right="-57" w:rightChars="-27"/>
        <w:jc w:val="center"/>
        <w:rPr>
          <w:rFonts w:ascii="宋体" w:hAnsi="宋体"/>
          <w:b/>
          <w:szCs w:val="21"/>
        </w:rPr>
      </w:pPr>
      <w:r>
        <w:rPr>
          <w:rFonts w:hint="eastAsia" w:ascii="宋体" w:hAnsi="宋体"/>
          <w:b/>
          <w:szCs w:val="21"/>
        </w:rPr>
        <w:t>投标申请人声明</w:t>
      </w:r>
    </w:p>
    <w:p>
      <w:pPr>
        <w:spacing w:line="360" w:lineRule="auto"/>
        <w:ind w:right="-57" w:rightChars="-27"/>
        <w:jc w:val="left"/>
        <w:rPr>
          <w:rFonts w:ascii="宋体" w:hAnsi="宋体"/>
          <w:szCs w:val="21"/>
        </w:rPr>
      </w:pP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深圳市宝安湾环境科技发展有限公司 、</w:t>
      </w:r>
      <w:r>
        <w:rPr>
          <w:rFonts w:hint="eastAsia" w:ascii="宋体" w:hAnsi="宋体" w:cs="宋体"/>
          <w:kern w:val="0"/>
          <w:szCs w:val="21"/>
          <w:lang w:eastAsia="zh-CN"/>
        </w:rPr>
        <w:t>广东省机电设备招标有限公司</w:t>
      </w:r>
      <w:r>
        <w:rPr>
          <w:rFonts w:hint="eastAsia" w:ascii="宋体" w:hAnsi="宋体" w:cs="宋体"/>
          <w:kern w:val="0"/>
          <w:szCs w:val="21"/>
        </w:rPr>
        <w:t>：</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本公司就参加</w:t>
      </w:r>
      <w:r>
        <w:rPr>
          <w:rFonts w:hint="eastAsia" w:ascii="宋体" w:hAnsi="宋体" w:cs="宋体"/>
          <w:kern w:val="0"/>
          <w:szCs w:val="21"/>
          <w:u w:val="single"/>
        </w:rPr>
        <w:t>                项目</w:t>
      </w:r>
      <w:r>
        <w:rPr>
          <w:rFonts w:ascii="宋体" w:hAnsi="宋体" w:cs="宋体"/>
          <w:kern w:val="0"/>
          <w:szCs w:val="21"/>
        </w:rPr>
        <w:t>投标工作，作出郑重声明：</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一、本公司保证报名及其后提供的一切材料都是真实的。</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二、本公司保证不与其他单位围标、串标，不出让投标资格，不向招标人或评标委员会成员行贿。</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三、本公司不存在招标文件第二章投标人须知第1.4.3项所规定的任何一种情形。</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四、本公司及其有隶属关系的机构，没有参加本项目招标文件的编写工作；本公司与本次招标的招标代理机构没有隶属关系或其他利害关系。</w:t>
      </w:r>
    </w:p>
    <w:p>
      <w:pPr>
        <w:snapToGrid w:val="0"/>
        <w:spacing w:line="360" w:lineRule="auto"/>
        <w:ind w:firstLine="420" w:firstLineChars="200"/>
        <w:rPr>
          <w:rFonts w:ascii="宋体" w:hAnsi="宋体" w:cs="宋体"/>
          <w:kern w:val="0"/>
          <w:szCs w:val="21"/>
        </w:rPr>
      </w:pPr>
      <w:r>
        <w:rPr>
          <w:rFonts w:ascii="宋体" w:hAnsi="宋体" w:cs="宋体"/>
          <w:kern w:val="0"/>
          <w:szCs w:val="21"/>
        </w:rPr>
        <w:t>五、本公司承诺，中标后严格执行安全生产相关管理规定。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六、本公司保证投标保函真实、有效。</w:t>
      </w:r>
    </w:p>
    <w:p>
      <w:pPr>
        <w:snapToGrid w:val="0"/>
        <w:spacing w:line="360" w:lineRule="auto"/>
        <w:ind w:firstLine="420" w:firstLineChars="200"/>
        <w:rPr>
          <w:rFonts w:ascii="宋体" w:hAnsi="宋体" w:cs="宋体"/>
          <w:kern w:val="0"/>
          <w:szCs w:val="21"/>
        </w:rPr>
      </w:pPr>
      <w:r>
        <w:rPr>
          <w:rFonts w:ascii="宋体" w:hAnsi="宋体" w:cs="宋体"/>
          <w:kern w:val="0"/>
          <w:szCs w:val="21"/>
        </w:rPr>
        <w:t>本公司违反上述保证，或本声明陈述与事实不符，经查实，本公司愿意接受公开通报，承担由此带来的法律后果，并自愿停止参加</w:t>
      </w:r>
      <w:r>
        <w:rPr>
          <w:rFonts w:hint="eastAsia" w:ascii="宋体" w:hAnsi="宋体" w:cs="宋体"/>
          <w:kern w:val="0"/>
          <w:szCs w:val="21"/>
        </w:rPr>
        <w:t>深圳</w:t>
      </w:r>
      <w:r>
        <w:rPr>
          <w:rFonts w:ascii="宋体" w:hAnsi="宋体" w:cs="宋体"/>
          <w:kern w:val="0"/>
          <w:szCs w:val="21"/>
        </w:rPr>
        <w:t>市行政辖区内的招标投标活动三个月。</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特此声明。</w:t>
      </w:r>
    </w:p>
    <w:p>
      <w:pPr>
        <w:snapToGrid w:val="0"/>
        <w:spacing w:line="360" w:lineRule="auto"/>
        <w:rPr>
          <w:rFonts w:ascii="宋体" w:hAnsi="宋体" w:cs="宋体"/>
          <w:kern w:val="0"/>
          <w:szCs w:val="21"/>
        </w:rPr>
      </w:pPr>
    </w:p>
    <w:p>
      <w:pPr>
        <w:snapToGrid w:val="0"/>
        <w:spacing w:line="360" w:lineRule="auto"/>
        <w:ind w:firstLine="3990" w:firstLineChars="1900"/>
        <w:rPr>
          <w:rFonts w:ascii="宋体" w:hAnsi="宋体" w:cs="宋体"/>
          <w:kern w:val="0"/>
          <w:szCs w:val="21"/>
        </w:rPr>
      </w:pPr>
      <w:r>
        <w:rPr>
          <w:rFonts w:hint="eastAsia" w:ascii="宋体" w:hAnsi="宋体" w:cs="宋体"/>
          <w:kern w:val="0"/>
          <w:szCs w:val="21"/>
        </w:rPr>
        <w:t>声明企业(盖章)：</w:t>
      </w:r>
    </w:p>
    <w:p>
      <w:pPr>
        <w:snapToGrid w:val="0"/>
        <w:spacing w:line="360" w:lineRule="auto"/>
        <w:ind w:firstLine="3990" w:firstLineChars="1900"/>
        <w:rPr>
          <w:rFonts w:ascii="宋体" w:hAnsi="宋体" w:cs="宋体"/>
          <w:kern w:val="0"/>
          <w:szCs w:val="21"/>
        </w:rPr>
      </w:pPr>
      <w:r>
        <w:rPr>
          <w:rFonts w:hint="eastAsia" w:ascii="宋体" w:hAnsi="宋体" w:cs="宋体"/>
          <w:kern w:val="0"/>
          <w:szCs w:val="21"/>
        </w:rPr>
        <w:t>法定代表人或投标人授权代表（签字或盖章）：</w:t>
      </w:r>
    </w:p>
    <w:p>
      <w:pPr>
        <w:widowControl/>
        <w:spacing w:line="360" w:lineRule="auto"/>
        <w:jc w:val="right"/>
        <w:rPr>
          <w:rFonts w:ascii="宋体" w:hAnsi="宋体" w:cs="宋体"/>
          <w:kern w:val="0"/>
          <w:szCs w:val="21"/>
        </w:rPr>
      </w:pPr>
      <w:r>
        <w:rPr>
          <w:rFonts w:hint="eastAsia" w:ascii="宋体" w:hAnsi="宋体" w:cs="宋体"/>
          <w:kern w:val="0"/>
          <w:szCs w:val="21"/>
        </w:rPr>
        <w:t xml:space="preserve">年   月   </w:t>
      </w:r>
    </w:p>
    <w:p>
      <w:pPr>
        <w:widowControl/>
        <w:jc w:val="left"/>
        <w:rPr>
          <w:rFonts w:ascii="宋体" w:hAnsi="宋体" w:cs="宋体"/>
          <w:kern w:val="0"/>
          <w:szCs w:val="21"/>
        </w:rPr>
      </w:pPr>
      <w:r>
        <w:rPr>
          <w:rFonts w:ascii="宋体" w:hAnsi="宋体" w:cs="宋体"/>
          <w:kern w:val="0"/>
          <w:szCs w:val="21"/>
        </w:rPr>
        <w:br w:type="page"/>
      </w:r>
    </w:p>
    <w:p>
      <w:pPr>
        <w:widowControl/>
        <w:spacing w:line="360" w:lineRule="auto"/>
        <w:jc w:val="right"/>
        <w:rPr>
          <w:rFonts w:ascii="宋体" w:hAnsi="宋体" w:cs="宋体"/>
          <w:kern w:val="0"/>
          <w:szCs w:val="21"/>
        </w:rPr>
      </w:pPr>
    </w:p>
    <w:p>
      <w:pPr>
        <w:pStyle w:val="3"/>
        <w:spacing w:line="240" w:lineRule="auto"/>
      </w:pPr>
      <w:bookmarkStart w:id="64" w:name="_Toc56856843"/>
      <w:bookmarkStart w:id="65" w:name="_Toc56857074"/>
      <w:r>
        <w:rPr>
          <w:rFonts w:hint="eastAsia"/>
        </w:rPr>
        <w:t xml:space="preserve">第二章 </w:t>
      </w:r>
      <w:bookmarkEnd w:id="3"/>
      <w:bookmarkEnd w:id="4"/>
      <w:bookmarkEnd w:id="5"/>
      <w:r>
        <w:rPr>
          <w:rFonts w:hint="eastAsia"/>
        </w:rPr>
        <w:t>投标人须知</w:t>
      </w:r>
      <w:bookmarkEnd w:id="64"/>
      <w:bookmarkEnd w:id="65"/>
    </w:p>
    <w:p>
      <w:pPr>
        <w:pStyle w:val="7"/>
        <w:rPr>
          <w:rFonts w:ascii="Times New Roman" w:hAnsi="Times New Roman"/>
        </w:rPr>
      </w:pPr>
      <w:bookmarkStart w:id="66" w:name="_Toc56856844"/>
      <w:r>
        <w:rPr>
          <w:rFonts w:hint="eastAsia" w:ascii="Times New Roman" w:hAnsi="Times New Roman"/>
        </w:rPr>
        <w:t>投标人须知前附表</w:t>
      </w:r>
      <w:bookmarkEnd w:id="66"/>
    </w:p>
    <w:tbl>
      <w:tblPr>
        <w:tblStyle w:val="4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298"/>
        <w:gridCol w:w="5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b/>
                <w:szCs w:val="21"/>
              </w:rPr>
            </w:pPr>
            <w:r>
              <w:rPr>
                <w:rFonts w:ascii="Times New Roman" w:hAnsi="Times New Roman"/>
                <w:b/>
                <w:szCs w:val="21"/>
              </w:rPr>
              <w:t>条款号</w:t>
            </w:r>
          </w:p>
        </w:tc>
        <w:tc>
          <w:tcPr>
            <w:tcW w:w="2298" w:type="dxa"/>
            <w:vAlign w:val="center"/>
          </w:tcPr>
          <w:p>
            <w:pPr>
              <w:spacing w:line="360" w:lineRule="auto"/>
              <w:jc w:val="center"/>
              <w:rPr>
                <w:rFonts w:ascii="Times New Roman" w:hAnsi="Times New Roman"/>
                <w:b/>
                <w:szCs w:val="21"/>
              </w:rPr>
            </w:pPr>
            <w:r>
              <w:rPr>
                <w:rFonts w:ascii="Times New Roman" w:hAnsi="Times New Roman"/>
                <w:b/>
                <w:szCs w:val="21"/>
              </w:rPr>
              <w:t>条款名称</w:t>
            </w:r>
          </w:p>
        </w:tc>
        <w:tc>
          <w:tcPr>
            <w:tcW w:w="5150" w:type="dxa"/>
          </w:tcPr>
          <w:p>
            <w:pPr>
              <w:spacing w:line="360" w:lineRule="auto"/>
              <w:jc w:val="center"/>
              <w:rPr>
                <w:rFonts w:ascii="Times New Roman" w:hAnsi="Times New Roman"/>
                <w:b/>
                <w:szCs w:val="21"/>
              </w:rPr>
            </w:pPr>
            <w:r>
              <w:rPr>
                <w:rFonts w:ascii="Times New Roman" w:hAnsi="Times New Roman"/>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1.1.2</w:t>
            </w:r>
          </w:p>
        </w:tc>
        <w:tc>
          <w:tcPr>
            <w:tcW w:w="2298" w:type="dxa"/>
            <w:vAlign w:val="center"/>
          </w:tcPr>
          <w:p>
            <w:pPr>
              <w:spacing w:line="360" w:lineRule="auto"/>
              <w:jc w:val="center"/>
              <w:rPr>
                <w:rFonts w:ascii="Times New Roman" w:hAnsi="Times New Roman"/>
                <w:color w:val="auto"/>
                <w:szCs w:val="21"/>
                <w:highlight w:val="none"/>
              </w:rPr>
            </w:pPr>
            <w:r>
              <w:rPr>
                <w:rFonts w:hint="eastAsia" w:ascii="宋体" w:hAnsi="宋体" w:cs="宋体"/>
                <w:color w:val="auto"/>
                <w:szCs w:val="21"/>
                <w:highlight w:val="none"/>
              </w:rPr>
              <w:t>招标人</w:t>
            </w:r>
          </w:p>
        </w:tc>
        <w:tc>
          <w:tcPr>
            <w:tcW w:w="5150" w:type="dxa"/>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招标单位：深圳市宝安湾环境科技发展有限公司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地址：深圳市宝安区松岗街道江边社区江碧环保科技创新产业园</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 xml:space="preserve">高工  </w:t>
            </w:r>
            <w:r>
              <w:rPr>
                <w:rFonts w:hint="eastAsia" w:ascii="宋体" w:hAnsi="宋体" w:eastAsia="宋体" w:cs="宋体"/>
                <w:color w:val="auto"/>
                <w:szCs w:val="21"/>
                <w:highlight w:val="none"/>
              </w:rPr>
              <w:t xml:space="preserve">      联系电话：</w:t>
            </w:r>
            <w:r>
              <w:rPr>
                <w:rFonts w:hint="eastAsia" w:ascii="宋体" w:hAnsi="宋体" w:eastAsia="宋体" w:cs="宋体"/>
                <w:color w:val="auto"/>
                <w:szCs w:val="21"/>
                <w:highlight w:val="none"/>
                <w:lang w:val="en-US" w:eastAsia="zh-CN"/>
              </w:rPr>
              <w:t>13724269640</w:t>
            </w: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hint="eastAsia" w:ascii="Times New Roman" w:hAnsi="Times New Roman"/>
                <w:szCs w:val="21"/>
              </w:rPr>
              <w:t>1.</w:t>
            </w:r>
            <w:r>
              <w:rPr>
                <w:rFonts w:ascii="Times New Roman" w:hAnsi="Times New Roman"/>
                <w:szCs w:val="21"/>
              </w:rPr>
              <w:t>1.3</w:t>
            </w:r>
          </w:p>
        </w:tc>
        <w:tc>
          <w:tcPr>
            <w:tcW w:w="2298" w:type="dxa"/>
            <w:vAlign w:val="center"/>
          </w:tcPr>
          <w:p>
            <w:pPr>
              <w:spacing w:line="360" w:lineRule="auto"/>
              <w:jc w:val="center"/>
              <w:rPr>
                <w:rFonts w:ascii="宋体" w:hAnsi="宋体" w:cs="宋体"/>
                <w:szCs w:val="21"/>
              </w:rPr>
            </w:pPr>
            <w:r>
              <w:rPr>
                <w:rFonts w:ascii="宋体" w:hAnsi="宋体"/>
              </w:rPr>
              <w:t>招标代理机构</w:t>
            </w:r>
          </w:p>
        </w:tc>
        <w:tc>
          <w:tcPr>
            <w:tcW w:w="5150" w:type="dxa"/>
            <w:vAlign w:val="center"/>
          </w:tcPr>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广东省机电设备招标有限公司</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地址：深圳市光明区光明凤凰广场2栋1502</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联系人：袁赛、邹志鹏、李浩津、汪磊、杨琦</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邮箱：yuans@greatgz.cn</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电话：0755-23915154,18028725952/13682600292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1.1.4</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招标项目名称</w:t>
            </w:r>
          </w:p>
        </w:tc>
        <w:tc>
          <w:tcPr>
            <w:tcW w:w="5150" w:type="dxa"/>
          </w:tcPr>
          <w:p>
            <w:pPr>
              <w:spacing w:line="360" w:lineRule="auto"/>
              <w:jc w:val="left"/>
              <w:rPr>
                <w:rFonts w:hint="eastAsia" w:ascii="Times New Roman" w:hAnsi="Times New Roman" w:eastAsia="宋体"/>
                <w:szCs w:val="21"/>
                <w:lang w:eastAsia="zh-CN"/>
              </w:rPr>
            </w:pPr>
            <w:r>
              <w:rPr>
                <w:rFonts w:hint="eastAsia" w:ascii="宋体" w:hAnsi="宋体"/>
                <w:u w:val="none"/>
                <w:lang w:eastAsia="zh-CN"/>
              </w:rPr>
              <w:t>2026年度江碧环保科技创新产业园-工业废水集中处理厂废水处理普通药剂采购项目（第二次）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1.2.1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资金来源</w:t>
            </w:r>
          </w:p>
        </w:tc>
        <w:tc>
          <w:tcPr>
            <w:tcW w:w="5150" w:type="dxa"/>
          </w:tcPr>
          <w:p>
            <w:pPr>
              <w:spacing w:line="360" w:lineRule="auto"/>
              <w:jc w:val="left"/>
              <w:rPr>
                <w:rFonts w:ascii="Times New Roman" w:hAnsi="Times New Roman"/>
                <w:szCs w:val="21"/>
              </w:rPr>
            </w:pPr>
            <w:r>
              <w:rPr>
                <w:rFonts w:hint="eastAsia" w:ascii="宋体" w:hAnsi="宋体" w:cs="宋体"/>
                <w:szCs w:val="21"/>
                <w:lang w:val="en-US" w:eastAsia="zh-CN"/>
              </w:rPr>
              <w:t>自筹</w:t>
            </w:r>
            <w:r>
              <w:rPr>
                <w:rFonts w:hint="eastAsia" w:ascii="宋体" w:hAnsi="宋体" w:cs="宋体"/>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1.2.2</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资金落实情况</w:t>
            </w:r>
          </w:p>
        </w:tc>
        <w:tc>
          <w:tcPr>
            <w:tcW w:w="5150" w:type="dxa"/>
          </w:tcPr>
          <w:p>
            <w:pPr>
              <w:spacing w:line="360" w:lineRule="auto"/>
              <w:jc w:val="left"/>
              <w:rPr>
                <w:rFonts w:ascii="Times New Roman" w:hAnsi="Times New Roman"/>
                <w:szCs w:val="21"/>
              </w:rPr>
            </w:pPr>
            <w:r>
              <w:rPr>
                <w:rFonts w:hint="eastAsia" w:ascii="Times New Roman" w:hAnsi="Times New Roman"/>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1.3.1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招标范围</w:t>
            </w:r>
          </w:p>
        </w:tc>
        <w:tc>
          <w:tcPr>
            <w:tcW w:w="5150" w:type="dxa"/>
          </w:tcPr>
          <w:p>
            <w:pPr>
              <w:spacing w:line="360" w:lineRule="auto"/>
              <w:jc w:val="left"/>
              <w:rPr>
                <w:rFonts w:ascii="Times New Roman" w:hAnsi="Times New Roman"/>
                <w:szCs w:val="21"/>
              </w:rPr>
            </w:pPr>
            <w:r>
              <w:rPr>
                <w:rFonts w:hint="eastAsia" w:ascii="Times New Roman" w:hAnsi="Times New Roman"/>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1.3.2</w:t>
            </w:r>
          </w:p>
        </w:tc>
        <w:tc>
          <w:tcPr>
            <w:tcW w:w="2298" w:type="dxa"/>
            <w:vAlign w:val="center"/>
          </w:tcPr>
          <w:p>
            <w:pPr>
              <w:spacing w:line="360" w:lineRule="auto"/>
              <w:jc w:val="center"/>
              <w:rPr>
                <w:rFonts w:ascii="Times New Roman" w:hAnsi="Times New Roman"/>
                <w:szCs w:val="21"/>
              </w:rPr>
            </w:pPr>
            <w:r>
              <w:rPr>
                <w:rFonts w:hint="eastAsia" w:ascii="Times New Roman" w:hAnsi="Times New Roman"/>
                <w:szCs w:val="21"/>
                <w:lang w:val="en-US" w:eastAsia="zh-CN"/>
              </w:rPr>
              <w:t>供货期</w:t>
            </w:r>
          </w:p>
        </w:tc>
        <w:tc>
          <w:tcPr>
            <w:tcW w:w="5150" w:type="dxa"/>
            <w:vAlign w:val="center"/>
          </w:tcPr>
          <w:p>
            <w:pPr>
              <w:spacing w:line="360" w:lineRule="auto"/>
              <w:jc w:val="left"/>
              <w:rPr>
                <w:rFonts w:ascii="Times New Roman" w:hAnsi="Times New Roman"/>
                <w:szCs w:val="21"/>
              </w:rPr>
            </w:pPr>
            <w:r>
              <w:rPr>
                <w:rFonts w:hint="eastAsia" w:ascii="宋体" w:hAnsi="宋体"/>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1.3.3</w:t>
            </w:r>
          </w:p>
        </w:tc>
        <w:tc>
          <w:tcPr>
            <w:tcW w:w="2298" w:type="dxa"/>
            <w:vAlign w:val="center"/>
          </w:tcPr>
          <w:p>
            <w:pPr>
              <w:spacing w:line="360" w:lineRule="auto"/>
              <w:jc w:val="center"/>
              <w:rPr>
                <w:rFonts w:ascii="Times New Roman" w:hAnsi="Times New Roman"/>
                <w:szCs w:val="21"/>
              </w:rPr>
            </w:pPr>
            <w:r>
              <w:rPr>
                <w:rFonts w:hint="eastAsia" w:ascii="Times New Roman" w:hAnsi="Times New Roman"/>
                <w:szCs w:val="21"/>
                <w:lang w:val="en-US" w:eastAsia="zh-CN"/>
              </w:rPr>
              <w:t>交货</w:t>
            </w:r>
            <w:r>
              <w:rPr>
                <w:rFonts w:ascii="Times New Roman" w:hAnsi="Times New Roman"/>
                <w:szCs w:val="21"/>
              </w:rPr>
              <w:t>地点</w:t>
            </w:r>
          </w:p>
        </w:tc>
        <w:tc>
          <w:tcPr>
            <w:tcW w:w="5150" w:type="dxa"/>
            <w:vAlign w:val="center"/>
          </w:tcPr>
          <w:p>
            <w:pPr>
              <w:spacing w:line="360" w:lineRule="auto"/>
              <w:jc w:val="left"/>
              <w:rPr>
                <w:rFonts w:ascii="Times New Roman" w:hAnsi="Times New Roman"/>
                <w:szCs w:val="21"/>
              </w:rPr>
            </w:pPr>
            <w:r>
              <w:rPr>
                <w:rFonts w:hint="eastAsia" w:ascii="宋体" w:hAnsi="宋体"/>
                <w:u w:val="none"/>
              </w:rPr>
              <w:t>深圳市宝安区松岗街道江边社区江碧环保科技创新产业园——工业废水集中处理厂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1.3.4</w:t>
            </w:r>
          </w:p>
        </w:tc>
        <w:tc>
          <w:tcPr>
            <w:tcW w:w="2298" w:type="dxa"/>
            <w:vAlign w:val="center"/>
          </w:tcPr>
          <w:p>
            <w:pPr>
              <w:spacing w:line="360" w:lineRule="auto"/>
              <w:jc w:val="center"/>
              <w:rPr>
                <w:rFonts w:ascii="Times New Roman" w:hAnsi="Times New Roman"/>
                <w:szCs w:val="21"/>
              </w:rPr>
            </w:pPr>
            <w:r>
              <w:rPr>
                <w:rFonts w:hint="eastAsia" w:ascii="Times New Roman" w:hAnsi="Times New Roman"/>
                <w:szCs w:val="21"/>
              </w:rPr>
              <w:t>质量标准</w:t>
            </w:r>
          </w:p>
        </w:tc>
        <w:tc>
          <w:tcPr>
            <w:tcW w:w="5150" w:type="dxa"/>
          </w:tcPr>
          <w:p>
            <w:pPr>
              <w:spacing w:line="360" w:lineRule="auto"/>
              <w:jc w:val="left"/>
              <w:rPr>
                <w:rFonts w:hint="eastAsia" w:ascii="Times New Roman" w:hAnsi="Times New Roman"/>
                <w:szCs w:val="21"/>
              </w:rPr>
            </w:pPr>
            <w:r>
              <w:rPr>
                <w:rFonts w:hint="eastAsia" w:ascii="Times New Roman" w:hAnsi="Times New Roman"/>
                <w:szCs w:val="21"/>
              </w:rPr>
              <w:t>1. 所供货物必须符合中华人民共和国国家标准或行业标准；</w:t>
            </w:r>
          </w:p>
          <w:p>
            <w:pPr>
              <w:spacing w:line="360" w:lineRule="auto"/>
              <w:jc w:val="left"/>
              <w:rPr>
                <w:rFonts w:ascii="Times New Roman" w:hAnsi="Times New Roman"/>
                <w:szCs w:val="21"/>
              </w:rPr>
            </w:pPr>
            <w:r>
              <w:rPr>
                <w:rFonts w:hint="eastAsia" w:ascii="Times New Roman" w:hAnsi="Times New Roman"/>
                <w:szCs w:val="21"/>
              </w:rPr>
              <w:t xml:space="preserve">2. 所有产品的质量标准必须按国家现行的规范。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1.4.1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投标人</w:t>
            </w:r>
            <w:r>
              <w:rPr>
                <w:rFonts w:hint="eastAsia" w:ascii="Times New Roman" w:hAnsi="Times New Roman"/>
                <w:szCs w:val="21"/>
              </w:rPr>
              <w:t>资格</w:t>
            </w:r>
            <w:r>
              <w:rPr>
                <w:rFonts w:ascii="Times New Roman" w:hAnsi="Times New Roman"/>
                <w:szCs w:val="21"/>
              </w:rPr>
              <w:t>要求</w:t>
            </w:r>
          </w:p>
        </w:tc>
        <w:tc>
          <w:tcPr>
            <w:tcW w:w="5150" w:type="dxa"/>
          </w:tcPr>
          <w:p>
            <w:pPr>
              <w:spacing w:line="360" w:lineRule="auto"/>
              <w:rPr>
                <w:rFonts w:ascii="Times New Roman" w:hAnsi="Times New Roman"/>
                <w:szCs w:val="21"/>
              </w:rPr>
            </w:pPr>
            <w:r>
              <w:rPr>
                <w:rFonts w:hint="eastAsia" w:ascii="宋体" w:hAnsi="宋体"/>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1.4.2</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是否接受联合体投标</w:t>
            </w:r>
          </w:p>
        </w:tc>
        <w:tc>
          <w:tcPr>
            <w:tcW w:w="5150" w:type="dxa"/>
          </w:tcPr>
          <w:p>
            <w:pPr>
              <w:topLinePunct/>
              <w:spacing w:line="360" w:lineRule="auto"/>
              <w:rPr>
                <w:rFonts w:ascii="Times New Roman" w:hAnsi="Times New Roman"/>
                <w:szCs w:val="21"/>
              </w:rPr>
            </w:pPr>
            <w:r>
              <w:rPr>
                <w:rFonts w:hint="eastAsia" w:ascii="Times New Roman" w:hAnsi="Times New Roman"/>
                <w:szCs w:val="21"/>
              </w:rPr>
              <w:t>■</w:t>
            </w:r>
            <w:r>
              <w:rPr>
                <w:rFonts w:ascii="Times New Roman" w:hAnsi="Times New Roman"/>
                <w:szCs w:val="21"/>
              </w:rPr>
              <w:t>不接受</w:t>
            </w:r>
          </w:p>
          <w:p>
            <w:pPr>
              <w:spacing w:line="360" w:lineRule="auto"/>
              <w:rPr>
                <w:rFonts w:ascii="Times New Roman" w:hAnsi="Times New Roman"/>
                <w:szCs w:val="21"/>
              </w:rPr>
            </w:pPr>
            <w:r>
              <w:rPr>
                <w:rFonts w:ascii="Times New Roman"/>
                <w:sz w:val="32"/>
                <w:szCs w:val="32"/>
              </w:rPr>
              <w:t>□</w:t>
            </w:r>
            <w:r>
              <w:rPr>
                <w:rFonts w:ascii="Times New Roman" w:hAnsi="Times New Roman"/>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1.4.3</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投标人不得存在的</w:t>
            </w:r>
            <w:r>
              <w:rPr>
                <w:rFonts w:hint="eastAsia" w:ascii="Times New Roman" w:hAnsi="Times New Roman"/>
                <w:szCs w:val="21"/>
              </w:rPr>
              <w:t>其他</w:t>
            </w:r>
            <w:r>
              <w:rPr>
                <w:rFonts w:ascii="Times New Roman" w:hAnsi="Times New Roman"/>
                <w:szCs w:val="21"/>
              </w:rPr>
              <w:t>情形</w:t>
            </w:r>
          </w:p>
        </w:tc>
        <w:tc>
          <w:tcPr>
            <w:tcW w:w="5150" w:type="dxa"/>
          </w:tcPr>
          <w:p>
            <w:pPr>
              <w:topLinePunct/>
              <w:spacing w:line="360" w:lineRule="auto"/>
              <w:rPr>
                <w:rFonts w:ascii="Times New Roman" w:hAnsi="Times New Roman"/>
                <w:szCs w:val="21"/>
              </w:rPr>
            </w:pPr>
            <w:r>
              <w:rPr>
                <w:rFonts w:hint="eastAsia" w:ascii="Times New Roman" w:hAnsi="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1.9.1</w:t>
            </w:r>
          </w:p>
        </w:tc>
        <w:tc>
          <w:tcPr>
            <w:tcW w:w="2298" w:type="dxa"/>
            <w:vAlign w:val="center"/>
          </w:tcPr>
          <w:p>
            <w:pPr>
              <w:spacing w:line="360" w:lineRule="auto"/>
              <w:jc w:val="center"/>
              <w:rPr>
                <w:rFonts w:ascii="Times New Roman" w:hAnsi="Times New Roman" w:eastAsiaTheme="minorEastAsia"/>
                <w:szCs w:val="21"/>
              </w:rPr>
            </w:pPr>
            <w:r>
              <w:rPr>
                <w:rFonts w:ascii="Times New Roman" w:hAnsi="Times New Roman" w:eastAsiaTheme="minorEastAsia"/>
                <w:szCs w:val="21"/>
              </w:rPr>
              <w:t>踏勘现场</w:t>
            </w:r>
          </w:p>
        </w:tc>
        <w:tc>
          <w:tcPr>
            <w:tcW w:w="5150" w:type="dxa"/>
          </w:tcPr>
          <w:p>
            <w:pPr>
              <w:pStyle w:val="20"/>
              <w:topLinePunct/>
              <w:spacing w:line="360" w:lineRule="auto"/>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不组织</w:t>
            </w:r>
            <w:r>
              <w:rPr>
                <w:rFonts w:hint="eastAsia" w:ascii="Times New Roman" w:hAnsi="Times New Roman"/>
                <w:sz w:val="21"/>
                <w:szCs w:val="21"/>
              </w:rPr>
              <w:t>，投标人可</w:t>
            </w:r>
            <w:r>
              <w:rPr>
                <w:rFonts w:ascii="Times New Roman" w:hAnsi="Times New Roman"/>
                <w:sz w:val="21"/>
                <w:szCs w:val="21"/>
              </w:rPr>
              <w:t>按发包人</w:t>
            </w:r>
            <w:r>
              <w:rPr>
                <w:rFonts w:hint="eastAsia" w:ascii="Times New Roman" w:hAnsi="Times New Roman"/>
                <w:sz w:val="21"/>
                <w:szCs w:val="21"/>
              </w:rPr>
              <w:t>要求</w:t>
            </w:r>
            <w:r>
              <w:rPr>
                <w:rFonts w:ascii="Times New Roman" w:hAnsi="Times New Roman"/>
                <w:sz w:val="21"/>
                <w:szCs w:val="21"/>
              </w:rPr>
              <w:t>约定，自行前往</w:t>
            </w:r>
            <w:r>
              <w:rPr>
                <w:rFonts w:hint="eastAsia" w:ascii="Times New Roman" w:hAnsi="Times New Roman"/>
                <w:sz w:val="21"/>
                <w:szCs w:val="21"/>
              </w:rPr>
              <w:t>现场踏勘</w:t>
            </w:r>
            <w:r>
              <w:rPr>
                <w:rFonts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1.10.1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投标预备会</w:t>
            </w:r>
          </w:p>
        </w:tc>
        <w:tc>
          <w:tcPr>
            <w:tcW w:w="5150" w:type="dxa"/>
          </w:tcPr>
          <w:p>
            <w:pPr>
              <w:pStyle w:val="20"/>
              <w:topLinePunct/>
              <w:spacing w:line="360" w:lineRule="auto"/>
              <w:rPr>
                <w:rFonts w:ascii="Times New Roman" w:hAnsi="Times New Roman"/>
                <w:szCs w:val="21"/>
              </w:rPr>
            </w:pPr>
            <w:r>
              <w:rPr>
                <w:rFonts w:hint="eastAsia" w:ascii="Times New Roman" w:hAnsi="Times New Roman"/>
                <w:sz w:val="21"/>
                <w:szCs w:val="21"/>
              </w:rPr>
              <w:t>■</w:t>
            </w:r>
            <w:r>
              <w:rPr>
                <w:rFonts w:ascii="Times New Roman" w:hAnsi="Times New Roman"/>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1.10.2</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投标人在投标预备会前提出问题</w:t>
            </w:r>
          </w:p>
        </w:tc>
        <w:tc>
          <w:tcPr>
            <w:tcW w:w="5150" w:type="dxa"/>
          </w:tcPr>
          <w:p>
            <w:pPr>
              <w:spacing w:line="360" w:lineRule="auto"/>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1.10.3</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招标文件澄清发出的形式</w:t>
            </w:r>
          </w:p>
        </w:tc>
        <w:tc>
          <w:tcPr>
            <w:tcW w:w="5150" w:type="dxa"/>
          </w:tcPr>
          <w:p>
            <w:pPr>
              <w:spacing w:line="360" w:lineRule="auto"/>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eastAsiaTheme="minorEastAsia"/>
                <w:szCs w:val="21"/>
              </w:rPr>
              <w:t>1.11.1</w:t>
            </w:r>
          </w:p>
        </w:tc>
        <w:tc>
          <w:tcPr>
            <w:tcW w:w="2298" w:type="dxa"/>
            <w:vAlign w:val="center"/>
          </w:tcPr>
          <w:p>
            <w:pPr>
              <w:spacing w:line="360" w:lineRule="auto"/>
              <w:jc w:val="center"/>
              <w:rPr>
                <w:rFonts w:ascii="Times New Roman" w:hAnsi="Times New Roman"/>
                <w:szCs w:val="21"/>
              </w:rPr>
            </w:pPr>
            <w:r>
              <w:rPr>
                <w:rFonts w:ascii="Times New Roman" w:hAnsi="Times New Roman" w:eastAsiaTheme="minorEastAsia"/>
                <w:szCs w:val="21"/>
              </w:rPr>
              <w:t>分包</w:t>
            </w:r>
          </w:p>
        </w:tc>
        <w:tc>
          <w:tcPr>
            <w:tcW w:w="5150" w:type="dxa"/>
          </w:tcPr>
          <w:p>
            <w:pPr>
              <w:spacing w:line="360" w:lineRule="auto"/>
              <w:rPr>
                <w:rFonts w:ascii="Times New Roman" w:hAnsi="Times New Roman"/>
                <w:szCs w:val="21"/>
              </w:rPr>
            </w:pPr>
            <w:r>
              <w:rPr>
                <w:rFonts w:hint="eastAsia" w:ascii="Times New Roman" w:hAnsi="Times New Roman"/>
                <w:sz w:val="21"/>
                <w:szCs w:val="21"/>
              </w:rPr>
              <w:t>■</w:t>
            </w:r>
            <w:r>
              <w:rPr>
                <w:rFonts w:ascii="Times New Roman" w:hAnsi="Times New Roman"/>
                <w:szCs w:val="21"/>
              </w:rPr>
              <w:t>不允许</w:t>
            </w:r>
          </w:p>
          <w:p>
            <w:pPr>
              <w:pStyle w:val="20"/>
              <w:topLinePunct/>
              <w:spacing w:line="360" w:lineRule="auto"/>
              <w:rPr>
                <w:rFonts w:hAnsi="宋体" w:cs="宋体"/>
                <w:sz w:val="21"/>
                <w:szCs w:val="21"/>
              </w:rPr>
            </w:pPr>
            <w:r>
              <w:rPr>
                <w:rFonts w:ascii="Times New Roman"/>
                <w:sz w:val="32"/>
                <w:szCs w:val="32"/>
              </w:rPr>
              <w:t>□</w:t>
            </w:r>
            <w:r>
              <w:rPr>
                <w:rFonts w:ascii="Times New Roman" w:hAnsi="Times New Roman"/>
                <w:sz w:val="21"/>
                <w:szCs w:val="21"/>
              </w:rPr>
              <w:t>允许，</w:t>
            </w:r>
            <w:r>
              <w:rPr>
                <w:rFonts w:hint="eastAsia" w:hAnsi="宋体" w:cs="宋体"/>
                <w:sz w:val="21"/>
                <w:szCs w:val="21"/>
              </w:rPr>
              <w:t>允许非主体、非关键性工程进行分包。</w:t>
            </w:r>
          </w:p>
          <w:p>
            <w:pPr>
              <w:pStyle w:val="20"/>
              <w:topLinePunct/>
              <w:spacing w:line="360" w:lineRule="auto"/>
              <w:rPr>
                <w:rFonts w:hAnsi="宋体" w:cs="宋体"/>
                <w:sz w:val="21"/>
                <w:szCs w:val="21"/>
              </w:rPr>
            </w:pPr>
            <w:r>
              <w:rPr>
                <w:rFonts w:hint="eastAsia" w:hAnsi="宋体" w:cs="宋体"/>
                <w:sz w:val="21"/>
                <w:szCs w:val="21"/>
              </w:rPr>
              <w:t>分包内容要求：经发包人同意后可依法分包，且需报发包人备案。</w:t>
            </w:r>
          </w:p>
          <w:p>
            <w:pPr>
              <w:pStyle w:val="20"/>
              <w:topLinePunct/>
              <w:spacing w:line="360" w:lineRule="auto"/>
              <w:rPr>
                <w:rFonts w:hAnsi="宋体" w:cs="宋体"/>
                <w:sz w:val="21"/>
                <w:szCs w:val="21"/>
              </w:rPr>
            </w:pPr>
            <w:r>
              <w:rPr>
                <w:rFonts w:hint="eastAsia" w:hAnsi="宋体" w:cs="宋体"/>
                <w:sz w:val="21"/>
                <w:szCs w:val="21"/>
              </w:rPr>
              <w:t>分包金额要求：无</w:t>
            </w:r>
          </w:p>
          <w:p>
            <w:pPr>
              <w:spacing w:line="360" w:lineRule="auto"/>
              <w:rPr>
                <w:rFonts w:ascii="Times New Roman" w:hAnsi="Times New Roman"/>
                <w:szCs w:val="21"/>
              </w:rPr>
            </w:pPr>
            <w:r>
              <w:rPr>
                <w:rFonts w:hint="eastAsia" w:hAnsi="宋体" w:cs="宋体"/>
                <w:szCs w:val="21"/>
              </w:rPr>
              <w:t>对分包人的资质要求：</w:t>
            </w:r>
            <w:r>
              <w:rPr>
                <w:rFonts w:hint="eastAsia" w:ascii="宋体" w:hAnsi="宋体"/>
                <w:szCs w:val="21"/>
              </w:rPr>
              <w:t>分包</w:t>
            </w:r>
            <w:r>
              <w:rPr>
                <w:rFonts w:ascii="宋体" w:hAnsi="宋体"/>
                <w:szCs w:val="21"/>
              </w:rPr>
              <w:t>方案需经招标人同意后</w:t>
            </w:r>
            <w:r>
              <w:rPr>
                <w:rFonts w:hint="eastAsia" w:ascii="宋体" w:hAnsi="宋体"/>
                <w:szCs w:val="21"/>
              </w:rPr>
              <w:t>方可</w:t>
            </w:r>
            <w:r>
              <w:rPr>
                <w:rFonts w:ascii="宋体" w:hAnsi="宋体"/>
                <w:szCs w:val="21"/>
              </w:rPr>
              <w:t>实施</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1.12.3</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偏差</w:t>
            </w:r>
          </w:p>
        </w:tc>
        <w:tc>
          <w:tcPr>
            <w:tcW w:w="5150" w:type="dxa"/>
          </w:tcPr>
          <w:p>
            <w:pPr>
              <w:spacing w:line="360" w:lineRule="auto"/>
              <w:rPr>
                <w:rFonts w:ascii="Times New Roman" w:hAnsi="Times New Roman"/>
                <w:szCs w:val="21"/>
              </w:rPr>
            </w:pPr>
            <w:r>
              <w:rPr>
                <w:rFonts w:hint="eastAsia" w:ascii="Times New Roman" w:hAnsi="Times New Roman"/>
                <w:szCs w:val="21"/>
              </w:rPr>
              <w:t>■</w:t>
            </w:r>
            <w:r>
              <w:rPr>
                <w:rFonts w:ascii="Times New Roman" w:hAnsi="Times New Roman"/>
                <w:szCs w:val="21"/>
              </w:rPr>
              <w:t>不允许</w:t>
            </w:r>
          </w:p>
          <w:p>
            <w:pPr>
              <w:pStyle w:val="20"/>
              <w:topLinePunct/>
              <w:spacing w:line="360" w:lineRule="auto"/>
              <w:rPr>
                <w:rFonts w:hint="eastAsia" w:ascii="Times New Roman" w:hAnsi="Times New Roman" w:eastAsia="宋体"/>
                <w:sz w:val="21"/>
                <w:szCs w:val="21"/>
                <w:lang w:eastAsia="zh-CN"/>
              </w:rPr>
            </w:pPr>
            <w:r>
              <w:rPr>
                <w:rFonts w:hint="eastAsia" w:ascii="Times New Roman" w:hAnsi="Times New Roman"/>
                <w:sz w:val="21"/>
                <w:szCs w:val="21"/>
              </w:rPr>
              <w:t>□允许，</w:t>
            </w:r>
            <w:r>
              <w:rPr>
                <w:rFonts w:ascii="Times New Roman" w:hAnsi="Times New Roman"/>
                <w:sz w:val="21"/>
                <w:szCs w:val="21"/>
              </w:rPr>
              <w:t>偏差范围：</w:t>
            </w:r>
            <w:r>
              <w:rPr>
                <w:rFonts w:hint="eastAsia" w:ascii="Times New Roman" w:hAnsi="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2.2.1</w:t>
            </w:r>
          </w:p>
        </w:tc>
        <w:tc>
          <w:tcPr>
            <w:tcW w:w="2298" w:type="dxa"/>
            <w:vAlign w:val="center"/>
          </w:tcPr>
          <w:p>
            <w:pP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投标人要求澄清招标文件的截止时间和</w:t>
            </w:r>
            <w:r>
              <w:rPr>
                <w:rFonts w:ascii="Times New Roman" w:hAnsi="Times New Roman"/>
                <w:color w:val="auto"/>
                <w:szCs w:val="21"/>
                <w:highlight w:val="none"/>
              </w:rPr>
              <w:t>要求</w:t>
            </w:r>
          </w:p>
        </w:tc>
        <w:tc>
          <w:tcPr>
            <w:tcW w:w="5150" w:type="dxa"/>
          </w:tcPr>
          <w:p>
            <w:pPr>
              <w:adjustRightInd w:val="0"/>
              <w:snapToGrid w:val="0"/>
              <w:spacing w:line="360" w:lineRule="auto"/>
              <w:rPr>
                <w:rFonts w:ascii="宋体" w:hAnsi="宋体" w:cs="宋体"/>
                <w:color w:val="auto"/>
                <w:szCs w:val="21"/>
                <w:highlight w:val="yellow"/>
              </w:rPr>
            </w:pPr>
            <w:r>
              <w:rPr>
                <w:rFonts w:hint="eastAsia" w:ascii="宋体" w:hAnsi="宋体" w:cs="宋体"/>
                <w:color w:val="auto"/>
                <w:szCs w:val="21"/>
                <w:highlight w:val="none"/>
              </w:rPr>
              <w:t>1、疑问提交截止时间：</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17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分前。</w:t>
            </w:r>
          </w:p>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、提交疑问方式：发送电子邮件</w:t>
            </w:r>
          </w:p>
          <w:p>
            <w:pPr>
              <w:adjustRightInd w:val="0"/>
              <w:snapToGrid w:val="0"/>
              <w:spacing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3、文件格式要求：提交疑问的文件需加盖企业公章，以PDF格式以及内容完全一致的可编辑的word格式文件发送至邮箱：</w:t>
            </w:r>
            <w:r>
              <w:rPr>
                <w:rFonts w:hint="eastAsia" w:ascii="宋体" w:hAnsi="宋体" w:cs="宋体"/>
                <w:color w:val="auto"/>
                <w:szCs w:val="21"/>
                <w:highlight w:val="none"/>
                <w:lang w:eastAsia="zh-CN"/>
              </w:rPr>
              <w:t>yuans@greatgz.cn</w:t>
            </w:r>
          </w:p>
          <w:p>
            <w:pPr>
              <w:spacing w:line="360" w:lineRule="auto"/>
              <w:rPr>
                <w:rFonts w:ascii="Times New Roman" w:hAnsi="Times New Roman"/>
                <w:color w:val="auto"/>
                <w:szCs w:val="21"/>
                <w:highlight w:val="none"/>
              </w:rPr>
            </w:pPr>
            <w:r>
              <w:rPr>
                <w:rFonts w:hint="eastAsia" w:ascii="宋体" w:hAnsi="宋体" w:cs="宋体"/>
                <w:color w:val="auto"/>
                <w:szCs w:val="21"/>
                <w:highlight w:val="none"/>
              </w:rPr>
              <w:t>4、除非招标人认为确有必要答复，否则晚于此时间提交的澄清问题将不予答复。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2.2.2</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招标文件澄清发出的形式</w:t>
            </w:r>
          </w:p>
        </w:tc>
        <w:tc>
          <w:tcPr>
            <w:tcW w:w="5150" w:type="dxa"/>
          </w:tcPr>
          <w:p>
            <w:pPr>
              <w:spacing w:line="360" w:lineRule="auto"/>
              <w:rPr>
                <w:rFonts w:ascii="Times New Roman" w:hAnsi="Times New Roman"/>
                <w:szCs w:val="21"/>
              </w:rPr>
            </w:pPr>
            <w:r>
              <w:rPr>
                <w:rFonts w:hint="eastAsia" w:ascii="宋体" w:hAnsi="宋体" w:cs="宋体"/>
                <w:kern w:val="0"/>
                <w:szCs w:val="21"/>
              </w:rPr>
              <w:t>答疑纪要</w:t>
            </w:r>
            <w:r>
              <w:rPr>
                <w:rFonts w:ascii="宋体" w:hAnsi="宋体" w:cs="宋体"/>
                <w:kern w:val="0"/>
                <w:szCs w:val="21"/>
              </w:rPr>
              <w:t>或澄清</w:t>
            </w:r>
            <w:r>
              <w:rPr>
                <w:rFonts w:hint="eastAsia" w:ascii="宋体" w:hAnsi="宋体" w:cs="宋体"/>
                <w:kern w:val="0"/>
                <w:szCs w:val="21"/>
              </w:rPr>
              <w:t>通过</w:t>
            </w:r>
            <w:r>
              <w:rPr>
                <w:rFonts w:hint="eastAsia" w:ascii="宋体" w:hAnsi="宋体" w:cs="宋体"/>
                <w:kern w:val="0"/>
                <w:szCs w:val="21"/>
                <w:u w:val="none"/>
              </w:rPr>
              <w:t>广咨电子招投标交易平台网站（http://www.gzebid.cn）</w:t>
            </w:r>
            <w:r>
              <w:rPr>
                <w:rFonts w:hint="eastAsia" w:ascii="宋体" w:hAnsi="宋体" w:cs="宋体"/>
                <w:kern w:val="0"/>
                <w:szCs w:val="21"/>
                <w:u w:val="none"/>
                <w:lang w:eastAsia="zh-CN"/>
              </w:rPr>
              <w:t>、</w:t>
            </w:r>
            <w:r>
              <w:rPr>
                <w:rFonts w:hint="eastAsia" w:ascii="宋体" w:hAnsi="宋体" w:cs="宋体"/>
                <w:kern w:val="0"/>
                <w:szCs w:val="21"/>
                <w:u w:val="none"/>
              </w:rPr>
              <w:t>中国招标投标公共服务平台（网址：http://www.cebpubservice.com/）</w:t>
            </w:r>
            <w:r>
              <w:rPr>
                <w:rFonts w:hint="eastAsia" w:ascii="宋体" w:hAnsi="宋体" w:cs="宋体"/>
                <w:kern w:val="0"/>
                <w:szCs w:val="21"/>
                <w:u w:val="none"/>
                <w:lang w:val="en-US" w:eastAsia="zh-CN"/>
              </w:rPr>
              <w:t>和</w:t>
            </w:r>
            <w:r>
              <w:rPr>
                <w:rFonts w:hint="eastAsia" w:ascii="宋体" w:hAnsi="宋体"/>
                <w:u w:val="none"/>
              </w:rPr>
              <w:t>深圳交易集团宝安分公司（https://ba.szexgrp.com/home/index.html）</w:t>
            </w:r>
            <w:r>
              <w:rPr>
                <w:rFonts w:hint="eastAsia" w:ascii="宋体" w:hAnsi="宋体" w:cs="宋体"/>
                <w:kern w:val="0"/>
                <w:szCs w:val="21"/>
              </w:rPr>
              <w:t>发布，一经送达，即视为已送达所有潜在投标人。招标文件的答疑纪要或</w:t>
            </w:r>
            <w:r>
              <w:rPr>
                <w:rFonts w:ascii="宋体" w:hAnsi="宋体" w:cs="宋体"/>
                <w:kern w:val="0"/>
                <w:szCs w:val="21"/>
              </w:rPr>
              <w:t>澄清</w:t>
            </w:r>
            <w:r>
              <w:rPr>
                <w:rFonts w:hint="eastAsia" w:ascii="宋体" w:hAnsi="宋体" w:cs="宋体"/>
                <w:kern w:val="0"/>
                <w:szCs w:val="21"/>
              </w:rPr>
              <w:t>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hint="eastAsia" w:ascii="Times New Roman" w:hAnsi="Times New Roman"/>
                <w:szCs w:val="21"/>
              </w:rPr>
              <w:t>3.2.3</w:t>
            </w:r>
          </w:p>
        </w:tc>
        <w:tc>
          <w:tcPr>
            <w:tcW w:w="2298" w:type="dxa"/>
            <w:vAlign w:val="center"/>
          </w:tcPr>
          <w:p>
            <w:pPr>
              <w:spacing w:line="360" w:lineRule="auto"/>
              <w:jc w:val="center"/>
              <w:rPr>
                <w:rFonts w:ascii="Times New Roman" w:hAnsi="Times New Roman"/>
                <w:szCs w:val="21"/>
              </w:rPr>
            </w:pPr>
            <w:r>
              <w:rPr>
                <w:rFonts w:hint="eastAsia" w:ascii="Times New Roman" w:hAnsi="Times New Roman"/>
                <w:szCs w:val="21"/>
              </w:rPr>
              <w:t>报价方式</w:t>
            </w:r>
          </w:p>
        </w:tc>
        <w:tc>
          <w:tcPr>
            <w:tcW w:w="5150" w:type="dxa"/>
          </w:tcPr>
          <w:p>
            <w:pPr>
              <w:spacing w:line="360" w:lineRule="auto"/>
              <w:rPr>
                <w:rFonts w:ascii="Times New Roman" w:hAnsi="Times New Roman"/>
                <w:szCs w:val="21"/>
              </w:rPr>
            </w:pPr>
            <w:r>
              <w:rPr>
                <w:rFonts w:hint="eastAsia" w:ascii="Times New Roman" w:hAnsi="Times New Roman"/>
                <w:szCs w:val="21"/>
              </w:rPr>
              <w:t>投标人根据第六章</w:t>
            </w:r>
            <w:r>
              <w:rPr>
                <w:rFonts w:ascii="Times New Roman" w:hAnsi="Times New Roman"/>
                <w:szCs w:val="21"/>
              </w:rPr>
              <w:t>投标文件格式</w:t>
            </w:r>
            <w:r>
              <w:rPr>
                <w:rFonts w:hint="eastAsia" w:ascii="Times New Roman" w:hAnsi="Times New Roman"/>
                <w:szCs w:val="21"/>
              </w:rPr>
              <w:t>《投标报价表》的要求进行报价，所报价格不能超过最高投标限价（招标控制价）。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3.2.</w:t>
            </w:r>
            <w:r>
              <w:rPr>
                <w:rFonts w:hint="eastAsia" w:ascii="Times New Roman" w:hAnsi="Times New Roman"/>
                <w:szCs w:val="21"/>
              </w:rPr>
              <w:t>4</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最高投标限价</w:t>
            </w:r>
          </w:p>
        </w:tc>
        <w:tc>
          <w:tcPr>
            <w:tcW w:w="5150" w:type="dxa"/>
          </w:tcPr>
          <w:p>
            <w:pPr>
              <w:spacing w:line="360" w:lineRule="auto"/>
              <w:rPr>
                <w:rFonts w:ascii="Times New Roman" w:hAnsi="Times New Roman"/>
                <w:szCs w:val="21"/>
              </w:rPr>
            </w:pPr>
            <w:r>
              <w:rPr>
                <w:rFonts w:ascii="Times New Roman"/>
                <w:sz w:val="32"/>
                <w:szCs w:val="32"/>
              </w:rPr>
              <w:t>□</w:t>
            </w:r>
            <w:r>
              <w:rPr>
                <w:rFonts w:ascii="Times New Roman" w:hAnsi="Times New Roman"/>
                <w:szCs w:val="21"/>
              </w:rPr>
              <w:t>无</w:t>
            </w:r>
          </w:p>
          <w:p>
            <w:pPr>
              <w:spacing w:line="360" w:lineRule="auto"/>
              <w:rPr>
                <w:rFonts w:ascii="Times New Roman" w:hAnsi="Times New Roman"/>
                <w:szCs w:val="21"/>
              </w:rPr>
            </w:pPr>
            <w:r>
              <w:rPr>
                <w:rFonts w:hint="eastAsia" w:ascii="Times New Roman" w:hAnsi="Times New Roman"/>
                <w:szCs w:val="21"/>
              </w:rPr>
              <w:t>■</w:t>
            </w:r>
            <w:r>
              <w:rPr>
                <w:rFonts w:ascii="Times New Roman" w:hAnsi="Times New Roman"/>
                <w:szCs w:val="21"/>
              </w:rPr>
              <w:t>有，</w:t>
            </w:r>
            <w:r>
              <w:rPr>
                <w:rFonts w:hint="eastAsia" w:ascii="Times New Roman" w:hAnsi="Times New Roman"/>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3.2.</w:t>
            </w:r>
            <w:r>
              <w:rPr>
                <w:rFonts w:hint="eastAsia" w:ascii="Times New Roman" w:hAnsi="Times New Roman"/>
                <w:szCs w:val="21"/>
              </w:rPr>
              <w:t>5</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投标报价的其他要求</w:t>
            </w:r>
          </w:p>
        </w:tc>
        <w:tc>
          <w:tcPr>
            <w:tcW w:w="5150" w:type="dxa"/>
            <w:vAlign w:val="center"/>
          </w:tcPr>
          <w:p>
            <w:pPr>
              <w:spacing w:line="360" w:lineRule="auto"/>
              <w:rPr>
                <w:rFonts w:ascii="Times New Roman" w:hAnsi="Times New Roman"/>
                <w:szCs w:val="21"/>
              </w:rPr>
            </w:pPr>
            <w:r>
              <w:rPr>
                <w:rFonts w:hint="eastAsia" w:ascii="宋体" w:hAnsi="宋体"/>
              </w:rPr>
              <w:t>对同一招标项目未出现两个或以上投标报价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3.3.1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投标有效期</w:t>
            </w:r>
          </w:p>
        </w:tc>
        <w:tc>
          <w:tcPr>
            <w:tcW w:w="5150" w:type="dxa"/>
          </w:tcPr>
          <w:p>
            <w:pPr>
              <w:spacing w:line="360" w:lineRule="auto"/>
              <w:rPr>
                <w:rFonts w:ascii="Times New Roman" w:hAnsi="Times New Roman"/>
                <w:szCs w:val="21"/>
                <w:highlight w:val="none"/>
              </w:rPr>
            </w:pPr>
            <w:bookmarkStart w:id="67" w:name="_Toc300834946"/>
            <w:bookmarkStart w:id="68" w:name="_Toc384308207"/>
            <w:bookmarkStart w:id="69" w:name="_Toc369531512"/>
            <w:bookmarkStart w:id="70" w:name="_Toc361508582"/>
            <w:bookmarkStart w:id="71" w:name="_Toc1789"/>
            <w:bookmarkStart w:id="72" w:name="_Toc352691470"/>
            <w:r>
              <w:rPr>
                <w:rFonts w:hint="eastAsia" w:ascii="宋体" w:hAnsi="宋体" w:cs="宋体"/>
                <w:kern w:val="0"/>
                <w:szCs w:val="21"/>
                <w:highlight w:val="none"/>
                <w:u w:val="single"/>
              </w:rPr>
              <w:t>120</w:t>
            </w:r>
            <w:r>
              <w:rPr>
                <w:rFonts w:hint="eastAsia" w:ascii="宋体" w:hAnsi="宋体" w:cs="宋体"/>
                <w:kern w:val="0"/>
                <w:szCs w:val="21"/>
                <w:highlight w:val="none"/>
              </w:rPr>
              <w:t>日历天</w:t>
            </w:r>
            <w:r>
              <w:rPr>
                <w:rFonts w:hint="eastAsia" w:ascii="宋体" w:hAnsi="宋体"/>
                <w:szCs w:val="21"/>
                <w:highlight w:val="none"/>
                <w:u w:val="single"/>
              </w:rPr>
              <w:t>（从递交投标文件截止之日计起），如出现异议或投诉，则投标有效期自动延长至异议或投诉处理结束，确定中标人并发放中标通知书为止。</w:t>
            </w:r>
          </w:p>
        </w:tc>
      </w:tr>
      <w:bookmarkEnd w:id="67"/>
      <w:bookmarkEnd w:id="68"/>
      <w:bookmarkEnd w:id="69"/>
      <w:bookmarkEnd w:id="70"/>
      <w:bookmarkEnd w:id="71"/>
      <w:bookmark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3.4.1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投标保证金</w:t>
            </w:r>
          </w:p>
        </w:tc>
        <w:tc>
          <w:tcPr>
            <w:tcW w:w="5150" w:type="dxa"/>
          </w:tcPr>
          <w:p>
            <w:pPr>
              <w:widowControl/>
              <w:topLinePunct/>
              <w:spacing w:line="360" w:lineRule="auto"/>
              <w:rPr>
                <w:rFonts w:ascii="Times New Roman"/>
                <w:sz w:val="21"/>
                <w:szCs w:val="21"/>
              </w:rPr>
            </w:pPr>
            <w:r>
              <w:rPr>
                <w:rFonts w:ascii="Times New Roman"/>
                <w:sz w:val="32"/>
                <w:szCs w:val="32"/>
              </w:rPr>
              <w:t>□</w:t>
            </w:r>
            <w:r>
              <w:rPr>
                <w:rFonts w:hint="eastAsia" w:ascii="Times New Roman"/>
                <w:sz w:val="21"/>
                <w:szCs w:val="21"/>
              </w:rPr>
              <w:t>不要求递交投标保证金</w:t>
            </w:r>
          </w:p>
          <w:p>
            <w:pPr>
              <w:widowControl/>
              <w:spacing w:line="360" w:lineRule="auto"/>
              <w:rPr>
                <w:szCs w:val="21"/>
              </w:rPr>
            </w:pPr>
            <w:r>
              <w:rPr>
                <w:rFonts w:hint="eastAsia" w:ascii="宋体" w:hAnsi="宋体"/>
                <w:szCs w:val="21"/>
              </w:rPr>
              <w:t>■</w:t>
            </w:r>
            <w:r>
              <w:rPr>
                <w:rFonts w:hint="eastAsia"/>
                <w:szCs w:val="21"/>
              </w:rPr>
              <w:t>要求递交投标保证金</w:t>
            </w:r>
          </w:p>
          <w:p>
            <w:pPr>
              <w:widowControl/>
              <w:spacing w:line="360" w:lineRule="auto"/>
              <w:rPr>
                <w:szCs w:val="21"/>
                <w:highlight w:val="none"/>
              </w:rPr>
            </w:pPr>
            <w:r>
              <w:rPr>
                <w:rFonts w:hint="eastAsia"/>
                <w:szCs w:val="21"/>
              </w:rPr>
              <w:t>投标保证金</w:t>
            </w:r>
            <w:r>
              <w:rPr>
                <w:szCs w:val="21"/>
              </w:rPr>
              <w:t>金额：</w:t>
            </w:r>
            <w:r>
              <w:rPr>
                <w:rFonts w:hint="eastAsia"/>
                <w:szCs w:val="21"/>
                <w:highlight w:val="none"/>
              </w:rPr>
              <w:t>人民币</w:t>
            </w:r>
            <w:r>
              <w:rPr>
                <w:rFonts w:hint="eastAsia"/>
                <w:szCs w:val="21"/>
                <w:highlight w:val="none"/>
                <w:lang w:val="en-US" w:eastAsia="zh-CN"/>
              </w:rPr>
              <w:t>15</w:t>
            </w:r>
            <w:r>
              <w:rPr>
                <w:rFonts w:hint="eastAsia"/>
                <w:szCs w:val="21"/>
                <w:highlight w:val="none"/>
              </w:rPr>
              <w:t>万元。</w:t>
            </w:r>
          </w:p>
          <w:p>
            <w:pPr>
              <w:widowControl/>
              <w:spacing w:line="360" w:lineRule="auto"/>
              <w:rPr>
                <w:color w:val="FF0000"/>
                <w:szCs w:val="21"/>
                <w:highlight w:val="yellow"/>
              </w:rPr>
            </w:pPr>
            <w:r>
              <w:rPr>
                <w:rFonts w:hint="eastAsia"/>
                <w:color w:val="FF0000"/>
                <w:szCs w:val="21"/>
                <w:highlight w:val="yellow"/>
              </w:rPr>
              <w:t>投标保证金的</w:t>
            </w:r>
            <w:r>
              <w:rPr>
                <w:color w:val="FF0000"/>
                <w:szCs w:val="21"/>
                <w:highlight w:val="yellow"/>
              </w:rPr>
              <w:t>形式：</w:t>
            </w:r>
            <w:r>
              <w:rPr>
                <w:rFonts w:hint="eastAsia"/>
                <w:color w:val="FF0000"/>
                <w:szCs w:val="21"/>
                <w:highlight w:val="yellow"/>
              </w:rPr>
              <w:t>现金转账。</w:t>
            </w:r>
          </w:p>
          <w:p>
            <w:pPr>
              <w:widowControl/>
              <w:spacing w:line="360" w:lineRule="auto"/>
              <w:rPr>
                <w:color w:val="000000"/>
                <w:szCs w:val="21"/>
                <w:highlight w:val="none"/>
              </w:rPr>
            </w:pPr>
            <w:r>
              <w:rPr>
                <w:rFonts w:hint="eastAsia"/>
                <w:b/>
                <w:bCs/>
                <w:szCs w:val="21"/>
                <w:highlight w:val="none"/>
              </w:rPr>
              <w:t>现金转账形式：</w:t>
            </w:r>
            <w:r>
              <w:rPr>
                <w:rFonts w:hint="eastAsia"/>
                <w:color w:val="000000"/>
                <w:szCs w:val="21"/>
                <w:highlight w:val="none"/>
              </w:rPr>
              <w:t>供应商网上登记成功后，应登录广咨电子招投标交易平台网站（www.gzebid.cn）并选择对应项目获取缴纳保证金的子账号（每位供应商每个项目的保证金缴纳账户是唯一的，该账号是针对每位供应商随机生成的专属账号）。</w:t>
            </w:r>
          </w:p>
          <w:p>
            <w:pPr>
              <w:widowControl/>
              <w:spacing w:line="360" w:lineRule="auto"/>
              <w:rPr>
                <w:color w:val="000000"/>
                <w:szCs w:val="21"/>
                <w:highlight w:val="none"/>
              </w:rPr>
            </w:pPr>
            <w:r>
              <w:rPr>
                <w:rFonts w:hint="eastAsia"/>
                <w:color w:val="000000"/>
                <w:szCs w:val="21"/>
                <w:highlight w:val="none"/>
              </w:rPr>
              <w:t>注意：保证金应从供应商在本平台注册的基本户中支付，且严禁采用EFT系统(广东金融结算系统)方式缴纳，并以资金到达该子账号的时间为准，如从其他账户、或未按要求缴纳到指定子账号的，视为无效比选保证金，由此造成的后果由供应商自行承担。</w:t>
            </w:r>
          </w:p>
          <w:p>
            <w:pPr>
              <w:widowControl/>
              <w:spacing w:line="360" w:lineRule="auto"/>
              <w:rPr>
                <w:color w:val="000000"/>
                <w:szCs w:val="21"/>
                <w:highlight w:val="none"/>
              </w:rPr>
            </w:pPr>
            <w:r>
              <w:rPr>
                <w:rFonts w:hint="eastAsia"/>
                <w:color w:val="000000"/>
                <w:szCs w:val="21"/>
                <w:highlight w:val="none"/>
              </w:rPr>
              <w:t>本项目保证金由采购代理代采购人收取。</w:t>
            </w:r>
          </w:p>
          <w:p>
            <w:pPr>
              <w:widowControl/>
              <w:spacing w:line="360" w:lineRule="auto"/>
              <w:rPr>
                <w:rFonts w:ascii="Times New Roman" w:hAnsi="Times New Roman"/>
                <w:szCs w:val="21"/>
              </w:rPr>
            </w:pPr>
            <w:r>
              <w:rPr>
                <w:rFonts w:hint="eastAsia"/>
                <w:b/>
                <w:bCs/>
                <w:color w:val="000000"/>
                <w:szCs w:val="21"/>
                <w:highlight w:val="none"/>
              </w:rPr>
              <w:t>注：转帐时注明所报价项目的简称、项目编号，在采购代理机构确认保证金到帐后开具收据。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3.6.1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是否允许递交备选投标方案</w:t>
            </w:r>
          </w:p>
        </w:tc>
        <w:tc>
          <w:tcPr>
            <w:tcW w:w="5150" w:type="dxa"/>
          </w:tcPr>
          <w:p>
            <w:pPr>
              <w:pStyle w:val="20"/>
              <w:topLinePunct/>
              <w:spacing w:line="360" w:lineRule="auto"/>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不允许</w:t>
            </w:r>
          </w:p>
          <w:p>
            <w:pPr>
              <w:spacing w:line="360" w:lineRule="auto"/>
              <w:rPr>
                <w:rFonts w:ascii="Times New Roman" w:hAnsi="Times New Roman"/>
                <w:szCs w:val="21"/>
              </w:rPr>
            </w:pPr>
            <w:r>
              <w:rPr>
                <w:rFonts w:ascii="Times New Roman"/>
                <w:sz w:val="32"/>
                <w:szCs w:val="32"/>
              </w:rPr>
              <w:t>□</w:t>
            </w:r>
            <w:r>
              <w:rPr>
                <w:rFonts w:ascii="Times New Roman" w:hAnsi="Times New Roman"/>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rPr>
              <w:t>3.7</w:t>
            </w:r>
          </w:p>
        </w:tc>
        <w:tc>
          <w:tcPr>
            <w:tcW w:w="2298" w:type="dxa"/>
            <w:vAlign w:val="center"/>
          </w:tcPr>
          <w:p>
            <w:pPr>
              <w:spacing w:line="360" w:lineRule="auto"/>
              <w:jc w:val="center"/>
              <w:rPr>
                <w:rFonts w:ascii="Times New Roman" w:hAnsi="Times New Roman"/>
                <w:szCs w:val="21"/>
              </w:rPr>
            </w:pPr>
            <w:r>
              <w:rPr>
                <w:rFonts w:ascii="Times New Roman" w:hAnsi="Times New Roman"/>
              </w:rPr>
              <w:t>投标文件副本份数及其他要求</w:t>
            </w:r>
          </w:p>
        </w:tc>
        <w:tc>
          <w:tcPr>
            <w:tcW w:w="5150" w:type="dxa"/>
            <w:vAlign w:val="center"/>
          </w:tcPr>
          <w:p>
            <w:pPr>
              <w:numPr>
                <w:ilvl w:val="0"/>
                <w:numId w:val="1"/>
              </w:numPr>
              <w:spacing w:line="360" w:lineRule="auto"/>
              <w:rPr>
                <w:rFonts w:ascii="Times New Roman" w:hAnsi="Times New Roman"/>
              </w:rPr>
            </w:pPr>
            <w:r>
              <w:rPr>
                <w:rFonts w:hint="eastAsia" w:ascii="Times New Roman" w:hAnsi="Times New Roman"/>
              </w:rPr>
              <w:t>投标时应递交的投标文件（一正四副），副本可为正本复印件，正本和副本均要求加盖骑缝章，一起封装在一个封包。</w:t>
            </w:r>
          </w:p>
          <w:p>
            <w:pPr>
              <w:numPr>
                <w:ilvl w:val="0"/>
                <w:numId w:val="1"/>
              </w:numPr>
              <w:spacing w:line="360" w:lineRule="auto"/>
              <w:rPr>
                <w:rFonts w:ascii="Times New Roman" w:hAnsi="Times New Roman"/>
                <w:szCs w:val="21"/>
              </w:rPr>
            </w:pPr>
            <w:r>
              <w:rPr>
                <w:rFonts w:hint="eastAsia" w:ascii="Times New Roman" w:hAnsi="Times New Roman"/>
              </w:rPr>
              <w:t>电子文档一份（投标文件全套word可编辑版本及盖章</w:t>
            </w:r>
            <w:r>
              <w:rPr>
                <w:rFonts w:hint="eastAsia" w:ascii="Times New Roman" w:hAnsi="Times New Roman"/>
                <w:lang w:val="en-US" w:eastAsia="zh-CN"/>
              </w:rPr>
              <w:t>扫描版本</w:t>
            </w:r>
            <w:r>
              <w:rPr>
                <w:rFonts w:hint="eastAsia" w:ascii="Times New Roman" w:hAnsi="Times New Roman"/>
              </w:rPr>
              <w:t>，采用U盘介质），与唱标信封（</w:t>
            </w:r>
            <w:r>
              <w:rPr>
                <w:rFonts w:hint="eastAsia" w:ascii="Times New Roman" w:hAnsi="Times New Roman"/>
                <w:lang w:eastAsia="zh-CN"/>
              </w:rPr>
              <w:t>投标报价表</w:t>
            </w:r>
            <w:r>
              <w:rPr>
                <w:rFonts w:hint="eastAsia" w:ascii="Times New Roman" w:hAnsi="Times New Roman"/>
              </w:rPr>
              <w:t>）一起封装在一个封包。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rPr>
              <w:t>4.1</w:t>
            </w:r>
          </w:p>
        </w:tc>
        <w:tc>
          <w:tcPr>
            <w:tcW w:w="2298" w:type="dxa"/>
            <w:vAlign w:val="center"/>
          </w:tcPr>
          <w:p>
            <w:pPr>
              <w:spacing w:line="360" w:lineRule="auto"/>
              <w:jc w:val="center"/>
              <w:rPr>
                <w:rFonts w:ascii="Times New Roman" w:hAnsi="Times New Roman"/>
                <w:szCs w:val="21"/>
              </w:rPr>
            </w:pPr>
            <w:r>
              <w:rPr>
                <w:rFonts w:hint="eastAsia"/>
                <w:bCs/>
                <w:color w:val="000000"/>
              </w:rPr>
              <w:t>投标文件的密封</w:t>
            </w:r>
          </w:p>
        </w:tc>
        <w:tc>
          <w:tcPr>
            <w:tcW w:w="5150" w:type="dxa"/>
            <w:vAlign w:val="center"/>
          </w:tcPr>
          <w:p>
            <w:pPr>
              <w:spacing w:line="360" w:lineRule="auto"/>
              <w:rPr>
                <w:rFonts w:ascii="Times New Roman" w:hAnsi="Times New Roman"/>
              </w:rPr>
            </w:pPr>
            <w:r>
              <w:rPr>
                <w:rFonts w:hint="eastAsia" w:ascii="Times New Roman" w:hAnsi="Times New Roman"/>
              </w:rPr>
              <w:t>1、投标文件必须密封包装。</w:t>
            </w:r>
          </w:p>
          <w:p>
            <w:pPr>
              <w:spacing w:line="360" w:lineRule="auto"/>
              <w:rPr>
                <w:rFonts w:ascii="Times New Roman" w:hAnsi="Times New Roman"/>
                <w:szCs w:val="21"/>
              </w:rPr>
            </w:pPr>
            <w:r>
              <w:rPr>
                <w:rFonts w:hint="eastAsia" w:ascii="Times New Roman" w:hAnsi="Times New Roman"/>
              </w:rPr>
              <w:t>2、包装外层应写明招标人名称和地址、项目名称、项目编号，密封处加盖单位公章并注明“开标前不得启封”的字样， 正副本必须按照招标文件要求的格式分别密封。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4.1.2</w:t>
            </w:r>
          </w:p>
        </w:tc>
        <w:tc>
          <w:tcPr>
            <w:tcW w:w="2298" w:type="dxa"/>
            <w:vAlign w:val="center"/>
          </w:tcPr>
          <w:p>
            <w:pPr>
              <w:spacing w:line="360" w:lineRule="auto"/>
              <w:jc w:val="center"/>
              <w:rPr>
                <w:rFonts w:ascii="Times New Roman" w:hAnsi="Times New Roman"/>
                <w:color w:val="auto"/>
                <w:szCs w:val="21"/>
                <w:shd w:val="clear" w:color="FFFFFF" w:fill="D9D9D9"/>
              </w:rPr>
            </w:pPr>
            <w:r>
              <w:rPr>
                <w:rFonts w:ascii="Times New Roman" w:hAnsi="Times New Roman"/>
                <w:color w:val="auto"/>
                <w:szCs w:val="21"/>
              </w:rPr>
              <w:t>封套上应载明的信息</w:t>
            </w:r>
          </w:p>
        </w:tc>
        <w:tc>
          <w:tcPr>
            <w:tcW w:w="5150" w:type="dxa"/>
          </w:tcPr>
          <w:p>
            <w:pPr>
              <w:pStyle w:val="20"/>
              <w:topLinePunct/>
              <w:spacing w:line="360" w:lineRule="auto"/>
              <w:rPr>
                <w:rFonts w:ascii="Times New Roman" w:hAnsi="Times New Roman"/>
                <w:color w:val="auto"/>
                <w:sz w:val="21"/>
                <w:szCs w:val="21"/>
                <w:u w:val="single"/>
              </w:rPr>
            </w:pPr>
            <w:r>
              <w:rPr>
                <w:rFonts w:ascii="Times New Roman" w:hAnsi="Times New Roman"/>
                <w:color w:val="auto"/>
                <w:sz w:val="21"/>
                <w:szCs w:val="21"/>
              </w:rPr>
              <w:t>招标人名称：</w:t>
            </w:r>
            <w:r>
              <w:rPr>
                <w:rFonts w:hint="eastAsia" w:ascii="Times New Roman" w:hAnsi="Times New Roman"/>
                <w:color w:val="auto"/>
                <w:sz w:val="21"/>
                <w:szCs w:val="21"/>
              </w:rPr>
              <w:t>深圳市宝安湾环境科技发展有限公司</w:t>
            </w:r>
          </w:p>
          <w:p>
            <w:pPr>
              <w:pStyle w:val="20"/>
              <w:topLinePunct/>
              <w:spacing w:line="360" w:lineRule="auto"/>
              <w:rPr>
                <w:rFonts w:ascii="Times New Roman" w:hAnsi="Times New Roman"/>
                <w:color w:val="auto"/>
                <w:sz w:val="21"/>
                <w:szCs w:val="21"/>
                <w:u w:val="none"/>
              </w:rPr>
            </w:pPr>
            <w:r>
              <w:rPr>
                <w:rFonts w:hint="eastAsia" w:ascii="Times New Roman" w:hAnsi="Times New Roman"/>
                <w:color w:val="auto"/>
                <w:sz w:val="21"/>
                <w:szCs w:val="21"/>
              </w:rPr>
              <w:t>开标</w:t>
            </w:r>
            <w:r>
              <w:rPr>
                <w:rFonts w:ascii="Times New Roman" w:hAnsi="Times New Roman"/>
                <w:color w:val="auto"/>
                <w:sz w:val="21"/>
                <w:szCs w:val="21"/>
              </w:rPr>
              <w:t>地址：</w:t>
            </w:r>
            <w:r>
              <w:rPr>
                <w:rFonts w:hint="default" w:ascii="Times New Roman" w:hAnsi="Times New Roman"/>
                <w:color w:val="auto"/>
                <w:sz w:val="21"/>
                <w:szCs w:val="21"/>
                <w:u w:val="none"/>
              </w:rPr>
              <w:t>深圳市光明区光明凤凰广场2栋1502会议室。</w:t>
            </w:r>
          </w:p>
          <w:p>
            <w:pPr>
              <w:pStyle w:val="20"/>
              <w:topLinePunct/>
              <w:spacing w:line="360" w:lineRule="auto"/>
              <w:rPr>
                <w:rFonts w:ascii="Times New Roman" w:hAnsi="Times New Roman"/>
                <w:color w:val="auto"/>
                <w:sz w:val="21"/>
                <w:szCs w:val="21"/>
              </w:rPr>
            </w:pPr>
            <w:r>
              <w:rPr>
                <w:rFonts w:hint="eastAsia" w:ascii="Times New Roman" w:hAnsi="Times New Roman"/>
                <w:color w:val="auto"/>
                <w:sz w:val="21"/>
                <w:szCs w:val="21"/>
                <w:u w:val="single"/>
                <w:lang w:eastAsia="zh-CN"/>
              </w:rPr>
              <w:t>2026年度江碧环保科技创新产业园-工业废水集中处理厂废水处理普通药剂采购项目（第二次）</w:t>
            </w:r>
            <w:r>
              <w:rPr>
                <w:rFonts w:ascii="Times New Roman" w:hAnsi="Times New Roman"/>
                <w:color w:val="auto"/>
                <w:sz w:val="21"/>
                <w:szCs w:val="21"/>
              </w:rPr>
              <w:t>（项目名称）项目投标文件</w:t>
            </w:r>
          </w:p>
          <w:p>
            <w:pPr>
              <w:pStyle w:val="20"/>
              <w:topLinePunct/>
              <w:spacing w:line="360" w:lineRule="auto"/>
              <w:rPr>
                <w:rFonts w:hint="eastAsia" w:ascii="Times New Roman" w:hAnsi="Times New Roman"/>
                <w:color w:val="auto"/>
                <w:sz w:val="21"/>
                <w:szCs w:val="21"/>
                <w:lang w:val="en-US" w:eastAsia="zh-CN"/>
              </w:rPr>
            </w:pPr>
            <w:r>
              <w:rPr>
                <w:rFonts w:ascii="Times New Roman" w:hAnsi="Times New Roman"/>
                <w:color w:val="auto"/>
                <w:sz w:val="21"/>
                <w:szCs w:val="21"/>
              </w:rPr>
              <w:t>招标项目编号：</w:t>
            </w:r>
            <w:r>
              <w:rPr>
                <w:rFonts w:hint="eastAsia" w:ascii="Times New Roman" w:hAnsi="Times New Roman"/>
                <w:color w:val="auto"/>
                <w:sz w:val="21"/>
                <w:szCs w:val="21"/>
                <w:lang w:eastAsia="zh-CN"/>
              </w:rPr>
              <w:t>M4400000707535460001</w:t>
            </w:r>
          </w:p>
          <w:p>
            <w:pPr>
              <w:pStyle w:val="20"/>
              <w:topLinePunct/>
              <w:spacing w:line="360" w:lineRule="auto"/>
              <w:rPr>
                <w:rFonts w:ascii="Times New Roman" w:hAnsi="Times New Roman"/>
                <w:color w:val="auto"/>
                <w:sz w:val="21"/>
                <w:szCs w:val="21"/>
              </w:rPr>
            </w:pPr>
            <w:r>
              <w:rPr>
                <w:rFonts w:ascii="Times New Roman" w:hAnsi="Times New Roman"/>
                <w:color w:val="auto"/>
                <w:sz w:val="21"/>
                <w:szCs w:val="21"/>
              </w:rPr>
              <w:t>在</w:t>
            </w:r>
            <w:r>
              <w:rPr>
                <w:rFonts w:hint="eastAsia" w:ascii="Times New Roman" w:hAnsi="Times New Roman"/>
                <w:color w:val="auto"/>
                <w:sz w:val="21"/>
                <w:szCs w:val="21"/>
              </w:rPr>
              <w:t>2026年4月7日9时30分</w:t>
            </w:r>
            <w:r>
              <w:rPr>
                <w:rFonts w:ascii="Times New Roman" w:hAnsi="Times New Roman"/>
                <w:color w:val="auto"/>
                <w:sz w:val="21"/>
                <w:szCs w:val="21"/>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4.2.1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投标截止时间</w:t>
            </w:r>
          </w:p>
        </w:tc>
        <w:tc>
          <w:tcPr>
            <w:tcW w:w="5150" w:type="dxa"/>
          </w:tcPr>
          <w:p>
            <w:pPr>
              <w:spacing w:line="360" w:lineRule="auto"/>
              <w:rPr>
                <w:rFonts w:ascii="Times New Roman" w:hAnsi="Times New Roman"/>
                <w:szCs w:val="21"/>
              </w:rPr>
            </w:pPr>
            <w:r>
              <w:rPr>
                <w:rFonts w:hint="eastAsia" w:ascii="Times New Roman" w:hAnsi="Times New Roman"/>
                <w:szCs w:val="21"/>
              </w:rPr>
              <w:t>详见</w:t>
            </w:r>
            <w:r>
              <w:rPr>
                <w:rFonts w:ascii="Times New Roman" w:hAnsi="Times New Roman"/>
                <w:szCs w:val="21"/>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4.2.2</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递交投标文件地点</w:t>
            </w:r>
          </w:p>
        </w:tc>
        <w:tc>
          <w:tcPr>
            <w:tcW w:w="5150" w:type="dxa"/>
          </w:tcPr>
          <w:p>
            <w:pPr>
              <w:spacing w:line="360" w:lineRule="auto"/>
              <w:rPr>
                <w:rFonts w:ascii="Times New Roman" w:hAnsi="Times New Roman"/>
                <w:szCs w:val="21"/>
              </w:rPr>
            </w:pPr>
            <w:r>
              <w:rPr>
                <w:rFonts w:hint="eastAsia" w:ascii="Times New Roman" w:hAnsi="Times New Roman"/>
                <w:szCs w:val="21"/>
              </w:rPr>
              <w:t>详见</w:t>
            </w:r>
            <w:r>
              <w:rPr>
                <w:rFonts w:ascii="Times New Roman" w:hAnsi="Times New Roman"/>
                <w:szCs w:val="21"/>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4.2.3</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投标文件是否退还</w:t>
            </w:r>
          </w:p>
        </w:tc>
        <w:tc>
          <w:tcPr>
            <w:tcW w:w="5150" w:type="dxa"/>
          </w:tcPr>
          <w:p>
            <w:pPr>
              <w:pStyle w:val="20"/>
              <w:topLinePunct/>
              <w:spacing w:line="360" w:lineRule="auto"/>
              <w:rPr>
                <w:rFonts w:ascii="Times New Roman" w:hAnsi="Times New Roman"/>
                <w:sz w:val="21"/>
                <w:szCs w:val="21"/>
              </w:rPr>
            </w:pPr>
            <w:r>
              <w:rPr>
                <w:rFonts w:hint="eastAsia" w:ascii="Times New Roman" w:hAnsi="Times New Roman"/>
                <w:sz w:val="21"/>
                <w:szCs w:val="21"/>
              </w:rPr>
              <w:t>■否</w:t>
            </w:r>
          </w:p>
          <w:p>
            <w:pPr>
              <w:pStyle w:val="20"/>
              <w:topLinePunct/>
              <w:spacing w:line="360" w:lineRule="auto"/>
              <w:rPr>
                <w:rFonts w:ascii="Times New Roman" w:hAnsi="Times New Roman"/>
                <w:sz w:val="21"/>
                <w:szCs w:val="21"/>
              </w:rPr>
            </w:pPr>
            <w:r>
              <w:rPr>
                <w:rFonts w:ascii="Times New Roman"/>
                <w:sz w:val="32"/>
                <w:szCs w:val="32"/>
              </w:rPr>
              <w:t>□</w:t>
            </w:r>
            <w:r>
              <w:rPr>
                <w:rFonts w:ascii="Times New Roman" w:hAnsi="Times New Roman"/>
                <w:sz w:val="21"/>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ascii="Times New Roman" w:hAnsi="Times New Roman"/>
                <w:szCs w:val="21"/>
                <w:highlight w:val="none"/>
              </w:rPr>
            </w:pPr>
            <w:r>
              <w:rPr>
                <w:rFonts w:ascii="Times New Roman" w:hAnsi="Times New Roman"/>
                <w:szCs w:val="21"/>
                <w:highlight w:val="none"/>
              </w:rPr>
              <w:t>5.1</w:t>
            </w:r>
          </w:p>
        </w:tc>
        <w:tc>
          <w:tcPr>
            <w:tcW w:w="2298" w:type="dxa"/>
            <w:vAlign w:val="center"/>
          </w:tcPr>
          <w:p>
            <w:pPr>
              <w:spacing w:line="360" w:lineRule="auto"/>
              <w:jc w:val="center"/>
              <w:rPr>
                <w:rFonts w:ascii="Times New Roman" w:hAnsi="Times New Roman"/>
                <w:szCs w:val="21"/>
                <w:highlight w:val="none"/>
              </w:rPr>
            </w:pPr>
            <w:r>
              <w:rPr>
                <w:rFonts w:ascii="Times New Roman" w:hAnsi="Times New Roman"/>
                <w:szCs w:val="21"/>
                <w:highlight w:val="none"/>
              </w:rPr>
              <w:t>开标时间和地点</w:t>
            </w:r>
          </w:p>
        </w:tc>
        <w:tc>
          <w:tcPr>
            <w:tcW w:w="5150" w:type="dxa"/>
          </w:tcPr>
          <w:p>
            <w:pPr>
              <w:spacing w:line="360" w:lineRule="auto"/>
              <w:rPr>
                <w:rFonts w:ascii="Times New Roman" w:hAnsi="Times New Roman"/>
                <w:szCs w:val="21"/>
                <w:highlight w:val="none"/>
              </w:rPr>
            </w:pPr>
            <w:r>
              <w:rPr>
                <w:rFonts w:ascii="Times New Roman" w:hAnsi="Times New Roman"/>
                <w:szCs w:val="21"/>
                <w:highlight w:val="none"/>
              </w:rPr>
              <w:t>开标时间：同投标截止时间</w:t>
            </w:r>
          </w:p>
          <w:p>
            <w:pPr>
              <w:spacing w:line="360" w:lineRule="auto"/>
              <w:rPr>
                <w:rFonts w:ascii="Times New Roman" w:hAnsi="Times New Roman"/>
                <w:szCs w:val="21"/>
                <w:highlight w:val="none"/>
              </w:rPr>
            </w:pPr>
            <w:r>
              <w:rPr>
                <w:rFonts w:ascii="Times New Roman" w:hAnsi="Times New Roman"/>
                <w:szCs w:val="21"/>
                <w:highlight w:val="none"/>
              </w:rPr>
              <w:t>开标地点：同</w:t>
            </w:r>
            <w:r>
              <w:rPr>
                <w:rFonts w:hint="eastAsia" w:ascii="Times New Roman" w:hAnsi="Times New Roman"/>
                <w:szCs w:val="21"/>
                <w:highlight w:val="none"/>
              </w:rPr>
              <w:t>投标</w:t>
            </w:r>
            <w:r>
              <w:rPr>
                <w:rFonts w:ascii="Times New Roman" w:hAnsi="Times New Roman"/>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6</w:t>
            </w:r>
            <w:r>
              <w:rPr>
                <w:rFonts w:hint="eastAsia" w:ascii="Times New Roman" w:hAnsi="Times New Roman"/>
                <w:szCs w:val="21"/>
              </w:rPr>
              <w:t>.3.2</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评标委员会推荐中标候选人的人数</w:t>
            </w:r>
          </w:p>
        </w:tc>
        <w:tc>
          <w:tcPr>
            <w:tcW w:w="5150" w:type="dxa"/>
            <w:vAlign w:val="center"/>
          </w:tcPr>
          <w:p>
            <w:pPr>
              <w:spacing w:line="360" w:lineRule="auto"/>
              <w:rPr>
                <w:rFonts w:ascii="Times New Roman" w:hAnsi="Times New Roman"/>
                <w:szCs w:val="21"/>
              </w:rPr>
            </w:pPr>
            <w:r>
              <w:rPr>
                <w:rFonts w:hint="eastAsia" w:ascii="Times New Roman" w:hAnsi="Times New Roman"/>
                <w:szCs w:val="21"/>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7.1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中标候选人公示媒介及期限</w:t>
            </w:r>
          </w:p>
        </w:tc>
        <w:tc>
          <w:tcPr>
            <w:tcW w:w="5150" w:type="dxa"/>
          </w:tcPr>
          <w:p>
            <w:pPr>
              <w:spacing w:line="360" w:lineRule="auto"/>
              <w:jc w:val="left"/>
              <w:rPr>
                <w:rFonts w:hint="default" w:ascii="Times New Roman" w:hAnsi="Times New Roman" w:eastAsia="宋体"/>
                <w:color w:val="auto"/>
                <w:szCs w:val="21"/>
                <w:lang w:val="en-US" w:eastAsia="zh-CN"/>
              </w:rPr>
            </w:pPr>
            <w:r>
              <w:rPr>
                <w:rFonts w:ascii="Times New Roman" w:hAnsi="Times New Roman"/>
                <w:szCs w:val="21"/>
              </w:rPr>
              <w:t>公示媒介：</w:t>
            </w:r>
            <w:r>
              <w:rPr>
                <w:rFonts w:hint="eastAsia" w:ascii="宋体" w:hAnsi="宋体"/>
                <w:lang w:eastAsia="zh-CN"/>
              </w:rPr>
              <w:t>广东省机电设备招标有限公司</w:t>
            </w:r>
            <w:r>
              <w:rPr>
                <w:rFonts w:hint="eastAsia" w:ascii="宋体" w:hAnsi="宋体"/>
              </w:rPr>
              <w:t>广咨电子招投标交易平台网站（http://www.gzebid.cn）和</w:t>
            </w:r>
            <w:r>
              <w:rPr>
                <w:rFonts w:hint="eastAsia" w:ascii="Times New Roman" w:hAnsi="Times New Roman"/>
                <w:szCs w:val="21"/>
              </w:rPr>
              <w:t>中国招标投标</w:t>
            </w:r>
            <w:r>
              <w:rPr>
                <w:rFonts w:hint="eastAsia" w:ascii="宋体" w:hAnsi="宋体"/>
                <w:szCs w:val="22"/>
              </w:rPr>
              <w:t>公共服务平台（http://www.cebpubservice.com/）</w:t>
            </w:r>
            <w:r>
              <w:rPr>
                <w:rFonts w:hint="eastAsia" w:ascii="宋体" w:hAnsi="宋体"/>
                <w:szCs w:val="22"/>
                <w:lang w:val="en-US" w:eastAsia="zh-CN"/>
              </w:rPr>
              <w:t>和</w:t>
            </w:r>
            <w:r>
              <w:rPr>
                <w:rFonts w:hint="eastAsia" w:ascii="宋体" w:hAnsi="宋体"/>
                <w:u w:val="none"/>
              </w:rPr>
              <w:t>深圳交易集团宝安分公司（https://ba.szexgrp.com/home/index.html）</w:t>
            </w:r>
            <w:r>
              <w:rPr>
                <w:rFonts w:hint="eastAsia" w:ascii="宋体" w:hAnsi="宋体"/>
                <w:color w:val="auto"/>
                <w:szCs w:val="22"/>
                <w:lang w:val="en-US" w:eastAsia="zh-CN"/>
              </w:rPr>
              <w:t>。</w:t>
            </w:r>
          </w:p>
          <w:p>
            <w:pPr>
              <w:spacing w:line="360" w:lineRule="auto"/>
              <w:rPr>
                <w:rFonts w:ascii="Times New Roman" w:hAnsi="Times New Roman"/>
                <w:szCs w:val="21"/>
              </w:rPr>
            </w:pPr>
            <w:r>
              <w:rPr>
                <w:rFonts w:ascii="Times New Roman" w:hAnsi="Times New Roman"/>
                <w:szCs w:val="21"/>
              </w:rPr>
              <w:t>公示期限：</w:t>
            </w:r>
            <w:r>
              <w:rPr>
                <w:rFonts w:ascii="Times New Roman" w:hAnsi="Times New Roman"/>
                <w:szCs w:val="21"/>
                <w:u w:val="single"/>
              </w:rPr>
              <w:t xml:space="preserve"> 3</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7.4</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是否授权评标委员会确定中标人</w:t>
            </w:r>
          </w:p>
        </w:tc>
        <w:tc>
          <w:tcPr>
            <w:tcW w:w="5150" w:type="dxa"/>
          </w:tcPr>
          <w:p>
            <w:pPr>
              <w:spacing w:line="360" w:lineRule="auto"/>
              <w:rPr>
                <w:rFonts w:ascii="Times New Roman" w:hAnsi="Times New Roman"/>
                <w:szCs w:val="21"/>
              </w:rPr>
            </w:pPr>
            <w:r>
              <w:rPr>
                <w:rFonts w:ascii="Times New Roman"/>
                <w:sz w:val="32"/>
                <w:szCs w:val="32"/>
              </w:rPr>
              <w:t>□</w:t>
            </w:r>
            <w:r>
              <w:rPr>
                <w:rFonts w:ascii="Times New Roman" w:hAnsi="Times New Roman"/>
                <w:szCs w:val="21"/>
              </w:rPr>
              <w:t>是</w:t>
            </w:r>
          </w:p>
          <w:p>
            <w:pPr>
              <w:spacing w:line="360" w:lineRule="auto"/>
              <w:rPr>
                <w:rFonts w:ascii="Times New Roman" w:hAnsi="Times New Roman"/>
                <w:szCs w:val="21"/>
              </w:rPr>
            </w:pPr>
            <w:r>
              <w:rPr>
                <w:rFonts w:hint="eastAsia" w:ascii="Times New Roman" w:hAnsi="Times New Roman"/>
                <w:szCs w:val="21"/>
              </w:rPr>
              <w:t>■</w:t>
            </w:r>
            <w:r>
              <w:rPr>
                <w:rFonts w:ascii="Times New Roman" w:hAnsi="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eastAsiaTheme="minorEastAsia"/>
                <w:szCs w:val="21"/>
              </w:rPr>
              <w:t>7.6</w:t>
            </w:r>
          </w:p>
        </w:tc>
        <w:tc>
          <w:tcPr>
            <w:tcW w:w="2298" w:type="dxa"/>
            <w:vAlign w:val="center"/>
          </w:tcPr>
          <w:p>
            <w:pPr>
              <w:spacing w:line="360" w:lineRule="auto"/>
              <w:jc w:val="center"/>
              <w:rPr>
                <w:rFonts w:ascii="Times New Roman" w:hAnsi="Times New Roman"/>
                <w:szCs w:val="21"/>
              </w:rPr>
            </w:pPr>
            <w:r>
              <w:rPr>
                <w:rFonts w:hint="eastAsia" w:ascii="Times New Roman" w:eastAsiaTheme="minorEastAsia"/>
                <w:szCs w:val="21"/>
              </w:rPr>
              <w:t>技术成果经济补偿</w:t>
            </w:r>
          </w:p>
        </w:tc>
        <w:tc>
          <w:tcPr>
            <w:tcW w:w="5150" w:type="dxa"/>
          </w:tcPr>
          <w:p>
            <w:pPr>
              <w:tabs>
                <w:tab w:val="left" w:pos="360"/>
              </w:tabs>
              <w:spacing w:line="360" w:lineRule="auto"/>
              <w:rPr>
                <w:rFonts w:ascii="Times New Roman" w:hAnsi="Times New Roman" w:eastAsiaTheme="minorEastAsia"/>
                <w:szCs w:val="21"/>
              </w:rPr>
            </w:pPr>
            <w:r>
              <w:rPr>
                <w:rFonts w:hint="eastAsia" w:ascii="Times New Roman" w:hAnsi="Times New Roman"/>
                <w:szCs w:val="21"/>
              </w:rPr>
              <w:t>■</w:t>
            </w:r>
            <w:r>
              <w:rPr>
                <w:rFonts w:hint="eastAsia" w:ascii="Times New Roman" w:hAnsiTheme="minorEastAsia" w:eastAsiaTheme="minorEastAsia"/>
                <w:szCs w:val="21"/>
              </w:rPr>
              <w:t>不补偿</w:t>
            </w:r>
          </w:p>
          <w:p>
            <w:pPr>
              <w:spacing w:line="360" w:lineRule="auto"/>
              <w:rPr>
                <w:rFonts w:ascii="Times New Roman" w:hAnsi="Times New Roman"/>
                <w:szCs w:val="21"/>
              </w:rPr>
            </w:pPr>
            <w:r>
              <w:rPr>
                <w:rFonts w:ascii="Times New Roman"/>
                <w:sz w:val="32"/>
                <w:szCs w:val="32"/>
              </w:rPr>
              <w:t>□</w:t>
            </w:r>
            <w:r>
              <w:rPr>
                <w:rFonts w:hint="eastAsia" w:ascii="Times New Roman" w:hAnsiTheme="minorEastAsia" w:eastAsiaTheme="minorEastAsia"/>
                <w:szCs w:val="21"/>
              </w:rPr>
              <w:t>补偿，补偿标准：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7.</w:t>
            </w:r>
            <w:r>
              <w:rPr>
                <w:rFonts w:hint="eastAsia" w:ascii="Times New Roman" w:hAnsi="Times New Roman"/>
                <w:szCs w:val="21"/>
                <w:lang w:val="en-US" w:eastAsia="zh-CN"/>
              </w:rPr>
              <w:t>6</w:t>
            </w:r>
            <w:r>
              <w:rPr>
                <w:rFonts w:ascii="Times New Roman" w:hAnsi="Times New Roman"/>
                <w:szCs w:val="21"/>
              </w:rPr>
              <w:t>.1</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履约保证金</w:t>
            </w:r>
          </w:p>
        </w:tc>
        <w:tc>
          <w:tcPr>
            <w:tcW w:w="5150" w:type="dxa"/>
          </w:tcPr>
          <w:p>
            <w:pPr>
              <w:pStyle w:val="20"/>
              <w:topLinePunct/>
              <w:spacing w:line="360" w:lineRule="auto"/>
              <w:rPr>
                <w:rFonts w:hint="eastAsia" w:ascii="Times New Roman" w:hAnsi="Times New Roman" w:cs="Times New Roman"/>
                <w:color w:val="auto"/>
                <w:kern w:val="2"/>
                <w:sz w:val="21"/>
                <w:szCs w:val="21"/>
                <w:u w:val="none"/>
              </w:rPr>
            </w:pPr>
            <w:r>
              <w:rPr>
                <w:rFonts w:hint="eastAsia" w:ascii="Times New Roman" w:hAnsi="Times New Roman"/>
                <w:sz w:val="21"/>
                <w:szCs w:val="21"/>
              </w:rPr>
              <w:t>履约保证金金额：</w:t>
            </w:r>
            <w:r>
              <w:rPr>
                <w:rFonts w:hint="eastAsia" w:ascii="Times New Roman" w:hAnsi="Times New Roman" w:cs="Times New Roman"/>
                <w:color w:val="auto"/>
                <w:kern w:val="2"/>
                <w:sz w:val="21"/>
                <w:szCs w:val="21"/>
                <w:u w:val="single"/>
              </w:rPr>
              <w:t>中标价</w:t>
            </w:r>
            <w:r>
              <w:rPr>
                <w:rFonts w:hint="eastAsia" w:ascii="Times New Roman" w:hAnsi="Times New Roman" w:cs="Times New Roman"/>
                <w:color w:val="auto"/>
                <w:kern w:val="2"/>
                <w:sz w:val="21"/>
                <w:szCs w:val="21"/>
                <w:u w:val="single"/>
                <w:lang w:val="en-US" w:eastAsia="zh-CN"/>
              </w:rPr>
              <w:t>的</w:t>
            </w:r>
            <w:r>
              <w:rPr>
                <w:rFonts w:hint="eastAsia" w:ascii="Times New Roman" w:hAnsi="Times New Roman" w:cs="Times New Roman"/>
                <w:color w:val="auto"/>
                <w:kern w:val="2"/>
                <w:sz w:val="21"/>
                <w:szCs w:val="21"/>
                <w:u w:val="single"/>
              </w:rPr>
              <w:t>10%</w:t>
            </w:r>
          </w:p>
          <w:p>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担保形式：</w:t>
            </w:r>
          </w:p>
          <w:p>
            <w:pPr>
              <w:pStyle w:val="20"/>
              <w:topLinePunct/>
              <w:spacing w:line="360" w:lineRule="auto"/>
              <w:rPr>
                <w:rFonts w:hAnsi="宋体" w:cs="宋体"/>
                <w:color w:val="4F81BD" w:themeColor="accent1"/>
                <w:kern w:val="0"/>
                <w:szCs w:val="21"/>
                <w:u w:val="single"/>
                <w14:textFill>
                  <w14:solidFill>
                    <w14:schemeClr w14:val="accent1"/>
                  </w14:solidFill>
                </w14:textFill>
              </w:rPr>
            </w:pPr>
            <w:r>
              <w:rPr>
                <w:rFonts w:hint="eastAsia" w:hAnsi="宋体" w:cs="宋体"/>
                <w:color w:val="000000" w:themeColor="text1"/>
                <w:kern w:val="0"/>
                <w:szCs w:val="21"/>
                <w14:textFill>
                  <w14:solidFill>
                    <w14:schemeClr w14:val="tx1"/>
                  </w14:solidFill>
                </w14:textFill>
              </w:rPr>
              <w:sym w:font="Wingdings 2" w:char="0052"/>
            </w:r>
            <w:r>
              <w:rPr>
                <w:rFonts w:hint="eastAsia" w:hAnsi="宋体" w:cs="宋体"/>
                <w:color w:val="000000" w:themeColor="text1"/>
                <w:kern w:val="0"/>
                <w:szCs w:val="21"/>
                <w14:textFill>
                  <w14:solidFill>
                    <w14:schemeClr w14:val="tx1"/>
                  </w14:solidFill>
                </w14:textFill>
              </w:rPr>
              <w:t xml:space="preserve">银行保函 </w:t>
            </w:r>
            <w:r>
              <w:rPr>
                <w:rFonts w:hint="eastAsia" w:hAnsi="宋体" w:cs="宋体"/>
                <w:color w:val="000000" w:themeColor="text1"/>
                <w:kern w:val="0"/>
                <w:szCs w:val="21"/>
                <w14:textFill>
                  <w14:solidFill>
                    <w14:schemeClr w14:val="tx1"/>
                  </w14:solidFill>
                </w14:textFill>
              </w:rPr>
              <w:sym w:font="Wingdings 2" w:char="0052"/>
            </w:r>
            <w:r>
              <w:rPr>
                <w:rFonts w:hint="eastAsia" w:hAnsi="宋体" w:cs="宋体"/>
                <w:color w:val="000000" w:themeColor="text1"/>
                <w:kern w:val="0"/>
                <w:szCs w:val="21"/>
                <w:lang w:val="en-US" w:eastAsia="zh-CN"/>
                <w14:textFill>
                  <w14:solidFill>
                    <w14:schemeClr w14:val="tx1"/>
                  </w14:solidFill>
                </w14:textFill>
              </w:rPr>
              <w:t>银行转账</w:t>
            </w:r>
            <w:r>
              <w:rPr>
                <w:rFonts w:hint="eastAsia" w:hAnsi="宋体" w:cs="宋体"/>
                <w:color w:val="000000" w:themeColor="text1"/>
                <w:kern w:val="0"/>
                <w:szCs w:val="21"/>
                <w14:textFill>
                  <w14:solidFill>
                    <w14:schemeClr w14:val="tx1"/>
                  </w14:solidFill>
                </w14:textFill>
              </w:rPr>
              <w:t xml:space="preserve"> □专业工程担保公司担保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ascii="Times New Roman" w:hAnsi="Times New Roman"/>
                <w:szCs w:val="21"/>
              </w:rPr>
            </w:pPr>
            <w:r>
              <w:rPr>
                <w:rFonts w:ascii="Times New Roman" w:hAnsi="Times New Roman"/>
                <w:szCs w:val="21"/>
              </w:rPr>
              <w:t>9</w:t>
            </w:r>
          </w:p>
        </w:tc>
        <w:tc>
          <w:tcPr>
            <w:tcW w:w="2298" w:type="dxa"/>
            <w:vAlign w:val="center"/>
          </w:tcPr>
          <w:p>
            <w:pPr>
              <w:spacing w:line="360" w:lineRule="auto"/>
              <w:jc w:val="center"/>
              <w:rPr>
                <w:rFonts w:ascii="Times New Roman" w:hAnsi="Times New Roman"/>
                <w:szCs w:val="21"/>
              </w:rPr>
            </w:pPr>
            <w:r>
              <w:rPr>
                <w:rFonts w:ascii="Times New Roman" w:hAnsi="Times New Roman" w:eastAsiaTheme="minorEastAsia"/>
                <w:szCs w:val="21"/>
              </w:rPr>
              <w:t>是否采用电子招标投标</w:t>
            </w:r>
          </w:p>
        </w:tc>
        <w:tc>
          <w:tcPr>
            <w:tcW w:w="5150" w:type="dxa"/>
          </w:tcPr>
          <w:p>
            <w:pPr>
              <w:spacing w:line="360" w:lineRule="auto"/>
              <w:rPr>
                <w:rFonts w:ascii="Times New Roman" w:hAnsi="Times New Roman" w:eastAsiaTheme="minorEastAsia"/>
                <w:szCs w:val="21"/>
              </w:rPr>
            </w:pPr>
            <w:r>
              <w:rPr>
                <w:rFonts w:hint="eastAsia" w:ascii="Times New Roman" w:hAnsi="Times New Roman"/>
                <w:szCs w:val="21"/>
              </w:rPr>
              <w:t>■</w:t>
            </w:r>
            <w:r>
              <w:rPr>
                <w:rFonts w:ascii="Times New Roman" w:hAnsi="Times New Roman" w:eastAsiaTheme="minorEastAsia"/>
                <w:szCs w:val="21"/>
              </w:rPr>
              <w:t>否</w:t>
            </w:r>
            <w:r>
              <w:rPr>
                <w:rFonts w:hint="eastAsia" w:ascii="Times New Roman" w:hAnsi="Times New Roman" w:eastAsiaTheme="minorEastAsia"/>
                <w:szCs w:val="21"/>
              </w:rPr>
              <w:t xml:space="preserve">   </w:t>
            </w:r>
          </w:p>
          <w:p>
            <w:pPr>
              <w:spacing w:line="360" w:lineRule="auto"/>
              <w:rPr>
                <w:rFonts w:ascii="Times New Roman" w:hAnsi="Times New Roman"/>
                <w:szCs w:val="21"/>
              </w:rPr>
            </w:pPr>
            <w:r>
              <w:rPr>
                <w:rFonts w:ascii="Times New Roman"/>
                <w:sz w:val="32"/>
                <w:szCs w:val="32"/>
              </w:rPr>
              <w:t>□</w:t>
            </w:r>
            <w:r>
              <w:rPr>
                <w:rFonts w:ascii="Times New Roman" w:hAnsi="Times New Roman"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pPr>
              <w:spacing w:line="36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10</w:t>
            </w:r>
          </w:p>
        </w:tc>
        <w:tc>
          <w:tcPr>
            <w:tcW w:w="2298" w:type="dxa"/>
            <w:vAlign w:val="center"/>
          </w:tcPr>
          <w:p>
            <w:pPr>
              <w:spacing w:line="360" w:lineRule="auto"/>
              <w:jc w:val="center"/>
              <w:rPr>
                <w:rFonts w:ascii="Times New Roman" w:hAnsi="Times New Roman"/>
                <w:szCs w:val="21"/>
              </w:rPr>
            </w:pPr>
            <w:r>
              <w:rPr>
                <w:rFonts w:ascii="Times New Roman" w:hAnsi="Times New Roman"/>
                <w:szCs w:val="21"/>
              </w:rPr>
              <w:t>需要补充的其他内容</w:t>
            </w:r>
          </w:p>
        </w:tc>
        <w:tc>
          <w:tcPr>
            <w:tcW w:w="5150" w:type="dxa"/>
            <w:vAlign w:val="center"/>
          </w:tcPr>
          <w:p>
            <w:pPr>
              <w:spacing w:line="360" w:lineRule="auto"/>
              <w:rPr>
                <w:rFonts w:hint="eastAsia" w:ascii="Times New Roman" w:hAnsi="Times New Roman"/>
                <w:szCs w:val="21"/>
              </w:rPr>
            </w:pPr>
            <w:r>
              <w:rPr>
                <w:rFonts w:hint="eastAsia" w:ascii="Times New Roman" w:hAnsi="Times New Roman"/>
                <w:szCs w:val="21"/>
              </w:rPr>
              <w:t>1、如因中标方原因未在中标通知书发出10日内签订合同，采购人有权另行确定中标人。</w:t>
            </w:r>
          </w:p>
          <w:p>
            <w:pPr>
              <w:spacing w:line="360" w:lineRule="auto"/>
              <w:rPr>
                <w:rFonts w:hint="eastAsia" w:ascii="Times New Roman" w:hAnsi="Times New Roman"/>
                <w:szCs w:val="21"/>
              </w:rPr>
            </w:pPr>
            <w:r>
              <w:rPr>
                <w:rFonts w:hint="eastAsia" w:ascii="Times New Roman" w:hAnsi="Times New Roman"/>
                <w:szCs w:val="21"/>
              </w:rPr>
              <w:t>2、本项目平台交易服务费</w:t>
            </w:r>
            <w:r>
              <w:rPr>
                <w:rFonts w:hint="eastAsia" w:ascii="Times New Roman" w:hAnsi="Times New Roman"/>
                <w:szCs w:val="21"/>
                <w:lang w:eastAsia="zh-CN"/>
              </w:rPr>
              <w:t>（</w:t>
            </w:r>
            <w:r>
              <w:rPr>
                <w:rFonts w:hint="eastAsia" w:ascii="Times New Roman" w:hAnsi="Times New Roman"/>
                <w:szCs w:val="21"/>
                <w:lang w:val="en-US" w:eastAsia="zh-CN"/>
              </w:rPr>
              <w:t>若有）</w:t>
            </w:r>
            <w:r>
              <w:rPr>
                <w:rFonts w:hint="eastAsia" w:ascii="Times New Roman" w:hAnsi="Times New Roman"/>
                <w:szCs w:val="21"/>
              </w:rPr>
              <w:t>、招标代理服务费及专家评审费用由中标人支付。</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3、中标人应按照招标人与招标代理机构签订的招标代理合同约定向招标代理机构支付“招标代理服务费”。计费以中标价作为基准，按国家1980号文规定货物类</w:t>
            </w:r>
            <w:r>
              <w:rPr>
                <w:rFonts w:hint="eastAsia" w:ascii="Times New Roman" w:hAnsi="Times New Roman" w:cs="Times New Roman"/>
                <w:szCs w:val="21"/>
                <w:lang w:val="en-US" w:eastAsia="zh-CN"/>
              </w:rPr>
              <w:t>计算并下浮35%收费</w:t>
            </w:r>
            <w:r>
              <w:rPr>
                <w:rFonts w:hint="eastAsia" w:ascii="Times New Roman" w:hAnsi="Times New Roman" w:eastAsia="宋体" w:cs="Times New Roman"/>
                <w:szCs w:val="21"/>
                <w:lang w:val="en-US" w:eastAsia="zh-CN"/>
              </w:rPr>
              <w:t>。</w:t>
            </w:r>
          </w:p>
          <w:p>
            <w:pPr>
              <w:spacing w:line="360" w:lineRule="auto"/>
              <w:rPr>
                <w:rFonts w:ascii="Times New Roman" w:hAnsi="Times New Roman"/>
                <w:szCs w:val="21"/>
              </w:rPr>
            </w:pPr>
            <w:r>
              <w:rPr>
                <w:rFonts w:hint="eastAsia" w:ascii="Times New Roman" w:hAnsi="Times New Roman"/>
                <w:szCs w:val="21"/>
              </w:rPr>
              <w:t>4、中标人承诺所提供的材料均为真实有效，所有材料均可提供原件以及相关佐证材料备查，若有提供虚假材料，中标人同意被没收投标保证金，认可招标人有追究因此造成损失索赔的权利。</w:t>
            </w:r>
          </w:p>
        </w:tc>
      </w:tr>
    </w:tbl>
    <w:p>
      <w:pPr>
        <w:spacing w:line="400" w:lineRule="exact"/>
        <w:rPr>
          <w:rFonts w:ascii="Times New Roman" w:hAnsi="Times New Roman"/>
        </w:rPr>
      </w:pPr>
      <w:r>
        <w:rPr>
          <w:rFonts w:ascii="Times New Roman" w:hAnsi="Times New Roman"/>
        </w:rPr>
        <w:br w:type="page"/>
      </w:r>
    </w:p>
    <w:p>
      <w:pPr>
        <w:pStyle w:val="7"/>
        <w:rPr>
          <w:rFonts w:ascii="Times New Roman" w:hAnsi="Times New Roman"/>
        </w:rPr>
      </w:pPr>
      <w:bookmarkStart w:id="73" w:name="_Toc56856845"/>
      <w:r>
        <w:rPr>
          <w:rFonts w:ascii="Times New Roman" w:hAnsi="Times New Roman"/>
        </w:rPr>
        <w:t>1. 总则</w:t>
      </w:r>
      <w:bookmarkEnd w:id="73"/>
    </w:p>
    <w:p>
      <w:pPr>
        <w:pStyle w:val="8"/>
        <w:spacing w:line="240" w:lineRule="auto"/>
        <w:ind w:firstLine="137"/>
        <w:rPr>
          <w:rFonts w:ascii="Times New Roman" w:hAnsi="Times New Roman"/>
        </w:rPr>
      </w:pPr>
      <w:bookmarkStart w:id="74" w:name="_Toc56856846"/>
      <w:r>
        <w:rPr>
          <w:rFonts w:ascii="Times New Roman" w:hAnsi="Times New Roman"/>
        </w:rPr>
        <w:t xml:space="preserve">1.1 </w:t>
      </w:r>
      <w:r>
        <w:rPr>
          <w:rFonts w:hint="eastAsia" w:ascii="Times New Roman" w:hAnsi="Times New Roman"/>
        </w:rPr>
        <w:t>招标项目概况</w:t>
      </w:r>
      <w:bookmarkEnd w:id="74"/>
    </w:p>
    <w:p>
      <w:pPr>
        <w:spacing w:line="400" w:lineRule="exact"/>
        <w:ind w:firstLine="420" w:firstLineChars="200"/>
        <w:rPr>
          <w:rFonts w:ascii="Times New Roman" w:hAnsi="Times New Roman"/>
        </w:rPr>
      </w:pPr>
      <w:r>
        <w:rPr>
          <w:rFonts w:ascii="Times New Roman" w:hAnsi="Times New Roman"/>
        </w:rPr>
        <w:t>1.1.1根据《中华人民共和国招标投标法》、《中华人民共和国招标投标法实施条例》等有关法律、法规和规章的规定，本招标项目已具备招标条件，现进行招标。</w:t>
      </w:r>
    </w:p>
    <w:p>
      <w:pPr>
        <w:spacing w:line="400" w:lineRule="exact"/>
        <w:ind w:firstLine="420" w:firstLineChars="200"/>
        <w:rPr>
          <w:rFonts w:ascii="Times New Roman" w:hAnsi="Times New Roman"/>
        </w:rPr>
      </w:pPr>
      <w:r>
        <w:rPr>
          <w:rFonts w:ascii="Times New Roman" w:hAnsi="Times New Roman"/>
        </w:rPr>
        <w:t>1.1.2 招标人：见投标人须知前附表。</w:t>
      </w:r>
    </w:p>
    <w:p>
      <w:pPr>
        <w:spacing w:line="400" w:lineRule="exact"/>
        <w:ind w:firstLine="420" w:firstLineChars="200"/>
        <w:rPr>
          <w:rFonts w:ascii="Times New Roman" w:hAnsi="Times New Roman"/>
        </w:rPr>
      </w:pPr>
      <w:r>
        <w:rPr>
          <w:rFonts w:hint="eastAsia" w:ascii="Times New Roman" w:hAnsi="Times New Roman"/>
        </w:rPr>
        <w:t>1.1.3 招标</w:t>
      </w:r>
      <w:r>
        <w:rPr>
          <w:rFonts w:ascii="Times New Roman" w:hAnsi="Times New Roman"/>
        </w:rPr>
        <w:t>代理</w:t>
      </w:r>
      <w:r>
        <w:rPr>
          <w:rFonts w:hint="eastAsia" w:ascii="Times New Roman" w:hAnsi="Times New Roman"/>
        </w:rPr>
        <w:t>机构</w:t>
      </w:r>
      <w:r>
        <w:rPr>
          <w:rFonts w:ascii="Times New Roman" w:hAnsi="Times New Roman"/>
        </w:rPr>
        <w:t>：见投标人须知前附表。</w:t>
      </w:r>
    </w:p>
    <w:p>
      <w:pPr>
        <w:spacing w:line="400" w:lineRule="exact"/>
        <w:ind w:firstLine="420" w:firstLineChars="200"/>
        <w:rPr>
          <w:rFonts w:ascii="Times New Roman" w:hAnsi="Times New Roman"/>
        </w:rPr>
      </w:pPr>
      <w:r>
        <w:rPr>
          <w:rFonts w:ascii="Times New Roman" w:hAnsi="Times New Roman"/>
        </w:rPr>
        <w:t>1.1.4 招标项目名称：见投标人须知前附表。</w:t>
      </w:r>
    </w:p>
    <w:p>
      <w:pPr>
        <w:pStyle w:val="8"/>
        <w:spacing w:line="240" w:lineRule="auto"/>
        <w:ind w:firstLine="137"/>
        <w:rPr>
          <w:rFonts w:ascii="Times New Roman" w:hAnsi="Times New Roman"/>
        </w:rPr>
      </w:pPr>
      <w:bookmarkStart w:id="75" w:name="_Toc56856847"/>
      <w:r>
        <w:rPr>
          <w:rFonts w:ascii="Times New Roman" w:hAnsi="Times New Roman"/>
        </w:rPr>
        <w:t xml:space="preserve">1.2 </w:t>
      </w:r>
      <w:r>
        <w:rPr>
          <w:rFonts w:hint="eastAsia" w:ascii="Times New Roman" w:hAnsi="Times New Roman"/>
        </w:rPr>
        <w:t>招标项目的资金来源和落实情况</w:t>
      </w:r>
      <w:bookmarkEnd w:id="75"/>
    </w:p>
    <w:p>
      <w:pPr>
        <w:spacing w:line="400" w:lineRule="exact"/>
        <w:ind w:firstLine="420" w:firstLineChars="200"/>
        <w:rPr>
          <w:rFonts w:ascii="Times New Roman" w:hAnsi="Times New Roman"/>
        </w:rPr>
      </w:pPr>
      <w:r>
        <w:rPr>
          <w:rFonts w:ascii="Times New Roman" w:hAnsi="Times New Roman"/>
        </w:rPr>
        <w:t>1.2.1 资金来源：见投标人须知前附表。</w:t>
      </w:r>
    </w:p>
    <w:p>
      <w:pPr>
        <w:spacing w:line="400" w:lineRule="exact"/>
        <w:ind w:firstLine="420" w:firstLineChars="200"/>
        <w:rPr>
          <w:rFonts w:ascii="Times New Roman" w:hAnsi="Times New Roman"/>
        </w:rPr>
      </w:pPr>
      <w:r>
        <w:rPr>
          <w:rFonts w:ascii="Times New Roman" w:hAnsi="Times New Roman"/>
        </w:rPr>
        <w:t>1.2.2 资金落实情况：见投标人须知前附表。</w:t>
      </w:r>
    </w:p>
    <w:p>
      <w:pPr>
        <w:pStyle w:val="8"/>
        <w:spacing w:line="240" w:lineRule="auto"/>
        <w:ind w:firstLine="137"/>
        <w:rPr>
          <w:rFonts w:ascii="Times New Roman" w:hAnsi="Times New Roman"/>
        </w:rPr>
      </w:pPr>
      <w:bookmarkStart w:id="76" w:name="_Toc56856848"/>
      <w:r>
        <w:rPr>
          <w:rFonts w:ascii="Times New Roman" w:hAnsi="Times New Roman"/>
        </w:rPr>
        <w:t xml:space="preserve">1.3 </w:t>
      </w:r>
      <w:r>
        <w:rPr>
          <w:rFonts w:hint="eastAsia" w:ascii="Times New Roman" w:hAnsi="Times New Roman"/>
        </w:rPr>
        <w:t>招标范围、</w:t>
      </w:r>
      <w:r>
        <w:rPr>
          <w:rFonts w:hint="eastAsia" w:ascii="Times New Roman" w:hAnsi="Times New Roman"/>
          <w:lang w:val="en-US" w:eastAsia="zh-CN"/>
        </w:rPr>
        <w:t>供货</w:t>
      </w:r>
      <w:r>
        <w:rPr>
          <w:rFonts w:hint="eastAsia" w:ascii="Times New Roman" w:hAnsi="Times New Roman"/>
        </w:rPr>
        <w:t>期和质量标准</w:t>
      </w:r>
      <w:bookmarkEnd w:id="76"/>
    </w:p>
    <w:p>
      <w:pPr>
        <w:spacing w:line="400" w:lineRule="exact"/>
        <w:ind w:firstLine="420" w:firstLineChars="200"/>
        <w:rPr>
          <w:rFonts w:ascii="Times New Roman" w:hAnsi="Times New Roman"/>
        </w:rPr>
      </w:pPr>
      <w:r>
        <w:rPr>
          <w:rFonts w:ascii="Times New Roman" w:hAnsi="Times New Roman"/>
        </w:rPr>
        <w:t>1.3.1 招标范围：见投标人须知前附表。</w:t>
      </w:r>
    </w:p>
    <w:p>
      <w:pPr>
        <w:spacing w:line="400" w:lineRule="exact"/>
        <w:ind w:firstLine="420" w:firstLineChars="200"/>
        <w:rPr>
          <w:rFonts w:ascii="Times New Roman" w:hAnsi="Times New Roman"/>
        </w:rPr>
      </w:pPr>
      <w:r>
        <w:rPr>
          <w:rFonts w:ascii="Times New Roman" w:hAnsi="Times New Roman"/>
        </w:rPr>
        <w:t xml:space="preserve">1.3.2 </w:t>
      </w:r>
      <w:r>
        <w:rPr>
          <w:rFonts w:hint="eastAsia" w:ascii="Times New Roman" w:hAnsi="Times New Roman"/>
          <w:lang w:val="en-US" w:eastAsia="zh-CN"/>
        </w:rPr>
        <w:t>供</w:t>
      </w:r>
      <w:r>
        <w:rPr>
          <w:rFonts w:hint="eastAsia" w:ascii="Times New Roman" w:hAnsi="Times New Roman"/>
        </w:rPr>
        <w:t>货期</w:t>
      </w:r>
      <w:r>
        <w:rPr>
          <w:rFonts w:ascii="Times New Roman" w:hAnsi="Times New Roman"/>
        </w:rPr>
        <w:t>：见投标人须知前附表。</w:t>
      </w:r>
    </w:p>
    <w:p>
      <w:pPr>
        <w:spacing w:line="400" w:lineRule="exact"/>
        <w:ind w:firstLine="420" w:firstLineChars="200"/>
        <w:rPr>
          <w:rFonts w:ascii="Times New Roman" w:hAnsi="Times New Roman"/>
        </w:rPr>
      </w:pPr>
      <w:r>
        <w:rPr>
          <w:rFonts w:hint="eastAsia" w:ascii="Times New Roman" w:hAnsi="Times New Roman"/>
        </w:rPr>
        <w:t>1.3.3 交货地点</w:t>
      </w:r>
      <w:r>
        <w:rPr>
          <w:rFonts w:ascii="Times New Roman" w:hAnsi="Times New Roman"/>
        </w:rPr>
        <w:t>：见投标人须知前附表。</w:t>
      </w:r>
    </w:p>
    <w:p>
      <w:pPr>
        <w:spacing w:line="400" w:lineRule="exact"/>
        <w:ind w:firstLine="420" w:firstLineChars="200"/>
        <w:rPr>
          <w:rFonts w:ascii="Times New Roman" w:hAnsi="Times New Roman"/>
        </w:rPr>
      </w:pPr>
      <w:r>
        <w:rPr>
          <w:rFonts w:ascii="Times New Roman" w:hAnsi="Times New Roman"/>
        </w:rPr>
        <w:t>1.3.4 质量标准：见投标人须知前附表。</w:t>
      </w:r>
    </w:p>
    <w:p>
      <w:pPr>
        <w:pStyle w:val="8"/>
        <w:spacing w:line="240" w:lineRule="auto"/>
        <w:ind w:firstLine="137"/>
        <w:rPr>
          <w:rFonts w:ascii="Times New Roman" w:hAnsi="Times New Roman"/>
        </w:rPr>
      </w:pPr>
      <w:bookmarkStart w:id="77" w:name="_Toc56856849"/>
      <w:r>
        <w:rPr>
          <w:rFonts w:ascii="Times New Roman" w:hAnsi="Times New Roman"/>
        </w:rPr>
        <w:t xml:space="preserve">1.4 </w:t>
      </w:r>
      <w:r>
        <w:rPr>
          <w:rFonts w:hint="eastAsia" w:ascii="Times New Roman" w:hAnsi="Times New Roman"/>
        </w:rPr>
        <w:t>投标人资格要求</w:t>
      </w:r>
      <w:bookmarkEnd w:id="77"/>
    </w:p>
    <w:p>
      <w:pPr>
        <w:spacing w:line="400" w:lineRule="exact"/>
        <w:ind w:firstLine="420" w:firstLineChars="200"/>
        <w:rPr>
          <w:rFonts w:ascii="Times New Roman" w:hAnsi="Times New Roman"/>
        </w:rPr>
      </w:pPr>
      <w:r>
        <w:rPr>
          <w:rFonts w:ascii="Times New Roman" w:hAnsi="Times New Roman"/>
        </w:rPr>
        <w:t>1.4.1 投标人</w:t>
      </w:r>
      <w:r>
        <w:rPr>
          <w:rFonts w:hint="eastAsia" w:ascii="Times New Roman" w:hAnsi="Times New Roman"/>
        </w:rPr>
        <w:t>资格要求</w:t>
      </w:r>
      <w:r>
        <w:rPr>
          <w:rFonts w:ascii="Times New Roman" w:hAnsi="Times New Roman"/>
        </w:rPr>
        <w:t>见投标人须知前附表；</w:t>
      </w:r>
    </w:p>
    <w:p>
      <w:pPr>
        <w:spacing w:line="4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pPr>
        <w:spacing w:line="4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4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400" w:lineRule="exact"/>
        <w:ind w:firstLine="315" w:firstLineChars="150"/>
        <w:rPr>
          <w:rFonts w:ascii="Times New Roman" w:hAnsi="Times New Roman"/>
        </w:rPr>
      </w:pPr>
      <w:r>
        <w:rPr>
          <w:rFonts w:ascii="Times New Roman" w:hAnsi="Times New Roman"/>
        </w:rPr>
        <w:t>（3）联合体各方不得再以自己名义单独或参加其他联合体在本招标项目中投标，否则各相关投标均无效。</w:t>
      </w:r>
    </w:p>
    <w:p>
      <w:pPr>
        <w:spacing w:line="400" w:lineRule="exact"/>
        <w:ind w:firstLine="420" w:firstLineChars="200"/>
        <w:rPr>
          <w:rFonts w:ascii="Times New Roman" w:hAnsi="Times New Roman"/>
          <w:szCs w:val="21"/>
        </w:rPr>
      </w:pPr>
      <w:r>
        <w:rPr>
          <w:rFonts w:ascii="Times New Roman" w:hAnsi="Times New Roman"/>
          <w:szCs w:val="21"/>
        </w:rPr>
        <w:t>1.4.3 投标人不得存在下列情形之一：</w:t>
      </w:r>
    </w:p>
    <w:p>
      <w:pPr>
        <w:spacing w:line="4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pPr>
        <w:spacing w:line="4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pPr>
        <w:spacing w:line="4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pPr>
        <w:spacing w:line="4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pPr>
        <w:spacing w:line="400" w:lineRule="exact"/>
        <w:ind w:firstLine="420" w:firstLineChars="200"/>
        <w:rPr>
          <w:rFonts w:ascii="Times New Roman" w:hAnsi="Times New Roman"/>
          <w:szCs w:val="21"/>
        </w:rPr>
      </w:pPr>
      <w:r>
        <w:rPr>
          <w:rFonts w:ascii="Times New Roman" w:hAnsi="Times New Roman"/>
          <w:szCs w:val="21"/>
        </w:rPr>
        <w:t>（5）为本招标项目的代建人；</w:t>
      </w:r>
    </w:p>
    <w:p>
      <w:pPr>
        <w:spacing w:line="400" w:lineRule="exact"/>
        <w:ind w:firstLine="420" w:firstLineChars="200"/>
        <w:rPr>
          <w:rFonts w:ascii="Times New Roman" w:hAnsi="Times New Roman"/>
          <w:szCs w:val="21"/>
        </w:rPr>
      </w:pPr>
      <w:r>
        <w:rPr>
          <w:rFonts w:ascii="Times New Roman" w:hAnsi="Times New Roman"/>
          <w:szCs w:val="21"/>
        </w:rPr>
        <w:t>（6）为本招标项目的招标代理机构；</w:t>
      </w:r>
    </w:p>
    <w:p>
      <w:pPr>
        <w:spacing w:line="400" w:lineRule="exact"/>
        <w:ind w:firstLine="420" w:firstLineChars="200"/>
        <w:rPr>
          <w:rFonts w:ascii="Times New Roman" w:hAnsi="Times New Roman"/>
          <w:szCs w:val="21"/>
        </w:rPr>
      </w:pPr>
      <w:r>
        <w:rPr>
          <w:rFonts w:ascii="Times New Roman" w:hAnsi="Times New Roman"/>
          <w:szCs w:val="21"/>
        </w:rPr>
        <w:t>（7）与本招标项目的代建人或招标代理机构同为一个法定代表人；</w:t>
      </w:r>
    </w:p>
    <w:p>
      <w:pPr>
        <w:spacing w:line="400" w:lineRule="exact"/>
        <w:ind w:firstLine="420" w:firstLineChars="200"/>
        <w:rPr>
          <w:rFonts w:ascii="Times New Roman" w:hAnsi="Times New Roman"/>
          <w:szCs w:val="21"/>
        </w:rPr>
      </w:pPr>
      <w:r>
        <w:rPr>
          <w:rFonts w:ascii="Times New Roman" w:hAnsi="Times New Roman"/>
          <w:szCs w:val="21"/>
        </w:rPr>
        <w:t>（8）与本招标项目的代建人或招标代理机构存在控股或参股关系；</w:t>
      </w:r>
    </w:p>
    <w:p>
      <w:pPr>
        <w:spacing w:line="400" w:lineRule="exact"/>
        <w:ind w:firstLine="420" w:firstLineChars="200"/>
        <w:rPr>
          <w:rFonts w:ascii="Times New Roman" w:hAnsi="Times New Roman"/>
          <w:szCs w:val="21"/>
        </w:rPr>
      </w:pPr>
      <w:r>
        <w:rPr>
          <w:rFonts w:ascii="Times New Roman" w:hAnsi="Times New Roman"/>
          <w:szCs w:val="21"/>
        </w:rPr>
        <w:t>（9）被依法暂停或者取消投标资格；</w:t>
      </w:r>
    </w:p>
    <w:p>
      <w:pPr>
        <w:spacing w:line="400" w:lineRule="exact"/>
        <w:ind w:firstLine="420" w:firstLineChars="200"/>
        <w:rPr>
          <w:rFonts w:ascii="Times New Roman" w:hAnsi="Times New Roman"/>
          <w:szCs w:val="21"/>
        </w:rPr>
      </w:pPr>
      <w:r>
        <w:rPr>
          <w:rFonts w:ascii="Times New Roman" w:hAnsi="Times New Roman"/>
          <w:szCs w:val="21"/>
        </w:rPr>
        <w:t>（10）被责令停产停业、暂扣或者吊销许可证、暂扣或者吊销执照；</w:t>
      </w:r>
    </w:p>
    <w:p>
      <w:pPr>
        <w:spacing w:line="400" w:lineRule="exact"/>
        <w:ind w:firstLine="420" w:firstLineChars="200"/>
        <w:rPr>
          <w:rFonts w:ascii="Times New Roman" w:hAnsi="Times New Roman"/>
          <w:szCs w:val="21"/>
        </w:rPr>
      </w:pPr>
      <w:r>
        <w:rPr>
          <w:rFonts w:ascii="Times New Roman" w:hAnsi="Times New Roman"/>
          <w:szCs w:val="21"/>
        </w:rPr>
        <w:t>（11）进入清算程序，或被宣告破产，或其他丧失履约能力的情形；</w:t>
      </w:r>
    </w:p>
    <w:p>
      <w:pPr>
        <w:spacing w:line="400" w:lineRule="exact"/>
        <w:ind w:firstLine="420" w:firstLineChars="200"/>
        <w:rPr>
          <w:rFonts w:ascii="Times New Roman" w:hAnsi="Times New Roman"/>
          <w:szCs w:val="21"/>
        </w:rPr>
      </w:pPr>
      <w:r>
        <w:rPr>
          <w:rFonts w:ascii="Times New Roman" w:hAnsi="Times New Roman"/>
          <w:szCs w:val="21"/>
        </w:rPr>
        <w:t>（12）在最近三年内发生重大质量问题（</w:t>
      </w:r>
      <w:r>
        <w:rPr>
          <w:rFonts w:hint="eastAsia" w:ascii="Times New Roman" w:hAnsi="Times New Roman"/>
          <w:szCs w:val="21"/>
        </w:rPr>
        <w:t>若有重大质量问题，</w:t>
      </w:r>
      <w:r>
        <w:rPr>
          <w:rFonts w:ascii="Times New Roman" w:hAnsi="Times New Roman"/>
          <w:szCs w:val="21"/>
        </w:rPr>
        <w:t>以相关行业主管部门的行政处罚决定或司法机关出具的有关法律文书为准）；</w:t>
      </w:r>
    </w:p>
    <w:p>
      <w:pPr>
        <w:spacing w:line="400" w:lineRule="exact"/>
        <w:ind w:firstLine="420" w:firstLineChars="200"/>
        <w:rPr>
          <w:rFonts w:ascii="Times New Roman" w:hAnsi="Times New Roman"/>
          <w:szCs w:val="21"/>
        </w:rPr>
      </w:pPr>
      <w:r>
        <w:rPr>
          <w:rFonts w:ascii="Times New Roman" w:hAnsi="Times New Roman"/>
          <w:szCs w:val="21"/>
        </w:rPr>
        <w:t>（13）被工商行政管理机关在全国企业信用信息公示系统中列入严重违法失信企业名单；</w:t>
      </w:r>
    </w:p>
    <w:p>
      <w:pPr>
        <w:spacing w:line="400" w:lineRule="exact"/>
        <w:ind w:firstLine="420" w:firstLineChars="200"/>
        <w:rPr>
          <w:rFonts w:ascii="Times New Roman" w:hAnsi="Times New Roman"/>
          <w:szCs w:val="21"/>
        </w:rPr>
      </w:pPr>
      <w:r>
        <w:rPr>
          <w:rFonts w:ascii="Times New Roman" w:hAnsi="Times New Roman"/>
          <w:szCs w:val="21"/>
        </w:rPr>
        <w:t>（14）被最高人民法院在“信用中国”网站（www.creditchina.gov.cn）或各级信用信息共享平台中列入失信被执行人名单；</w:t>
      </w:r>
    </w:p>
    <w:p>
      <w:pPr>
        <w:spacing w:line="400" w:lineRule="exact"/>
        <w:ind w:firstLine="420" w:firstLineChars="200"/>
        <w:rPr>
          <w:rFonts w:ascii="Times New Roman" w:hAnsi="Times New Roman"/>
          <w:szCs w:val="21"/>
        </w:rPr>
      </w:pPr>
      <w:r>
        <w:rPr>
          <w:rFonts w:ascii="Times New Roman" w:hAnsi="Times New Roman"/>
          <w:szCs w:val="21"/>
        </w:rPr>
        <w:t>（15）在近三年内投标人或其法定代表人、拟委任的项目负责人有行贿犯罪行为的；</w:t>
      </w:r>
    </w:p>
    <w:p>
      <w:pPr>
        <w:spacing w:line="400" w:lineRule="exact"/>
        <w:ind w:firstLine="420" w:firstLineChars="200"/>
        <w:rPr>
          <w:rFonts w:ascii="Times New Roman" w:hAnsi="Times New Roman"/>
          <w:szCs w:val="21"/>
        </w:rPr>
      </w:pPr>
      <w:r>
        <w:rPr>
          <w:rFonts w:ascii="Times New Roman" w:hAnsi="Times New Roman"/>
          <w:szCs w:val="21"/>
        </w:rPr>
        <w:t>（16）法律法规规定的其他情形。</w:t>
      </w:r>
    </w:p>
    <w:p>
      <w:pPr>
        <w:pStyle w:val="8"/>
        <w:spacing w:line="240" w:lineRule="auto"/>
        <w:ind w:firstLine="137"/>
        <w:rPr>
          <w:rFonts w:ascii="Times New Roman" w:hAnsi="Times New Roman"/>
        </w:rPr>
      </w:pPr>
      <w:bookmarkStart w:id="78" w:name="_Toc56856850"/>
      <w:r>
        <w:rPr>
          <w:rFonts w:ascii="Times New Roman" w:hAnsi="Times New Roman"/>
        </w:rPr>
        <w:t xml:space="preserve">1.5 </w:t>
      </w:r>
      <w:r>
        <w:rPr>
          <w:rFonts w:hint="eastAsia" w:ascii="Times New Roman" w:hAnsi="Times New Roman"/>
        </w:rPr>
        <w:t>费用承担</w:t>
      </w:r>
      <w:bookmarkEnd w:id="78"/>
    </w:p>
    <w:p>
      <w:pPr>
        <w:spacing w:line="400" w:lineRule="exact"/>
        <w:ind w:firstLine="420" w:firstLineChars="200"/>
        <w:rPr>
          <w:rFonts w:ascii="Times New Roman" w:hAnsi="Times New Roman"/>
        </w:rPr>
      </w:pPr>
      <w:r>
        <w:rPr>
          <w:rFonts w:ascii="Times New Roman" w:hAnsi="Times New Roman"/>
        </w:rPr>
        <w:t>投标人准备和参加投标活动发生的费用自理。</w:t>
      </w:r>
    </w:p>
    <w:p>
      <w:pPr>
        <w:pStyle w:val="8"/>
        <w:spacing w:line="240" w:lineRule="auto"/>
        <w:ind w:firstLine="137"/>
        <w:rPr>
          <w:rFonts w:ascii="Times New Roman" w:hAnsi="Times New Roman"/>
        </w:rPr>
      </w:pPr>
      <w:bookmarkStart w:id="79" w:name="_Toc56856851"/>
      <w:r>
        <w:rPr>
          <w:rFonts w:ascii="Times New Roman" w:hAnsi="Times New Roman"/>
        </w:rPr>
        <w:t xml:space="preserve">1.6 </w:t>
      </w:r>
      <w:r>
        <w:rPr>
          <w:rFonts w:hint="eastAsia" w:ascii="Times New Roman" w:hAnsi="Times New Roman"/>
        </w:rPr>
        <w:t>保密</w:t>
      </w:r>
      <w:bookmarkEnd w:id="79"/>
    </w:p>
    <w:p>
      <w:pPr>
        <w:spacing w:line="4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80" w:name="_Toc361508589"/>
      <w:bookmarkStart w:id="81" w:name="_Toc384308214"/>
      <w:bookmarkStart w:id="82" w:name="_Toc369531519"/>
      <w:bookmarkStart w:id="83" w:name="_Toc352691477"/>
      <w:bookmarkStart w:id="84" w:name="_Toc5326"/>
      <w:r>
        <w:rPr>
          <w:rFonts w:ascii="Times New Roman" w:hAnsi="Times New Roman"/>
        </w:rPr>
        <w:t>的商业和技术等秘密保密</w:t>
      </w:r>
      <w:bookmarkEnd w:id="80"/>
      <w:bookmarkEnd w:id="81"/>
      <w:bookmarkEnd w:id="82"/>
      <w:bookmarkEnd w:id="83"/>
      <w:bookmarkEnd w:id="84"/>
      <w:r>
        <w:rPr>
          <w:rFonts w:ascii="Times New Roman" w:hAnsi="Times New Roman"/>
        </w:rPr>
        <w:t>，否则应承担相应的法律责任。</w:t>
      </w:r>
    </w:p>
    <w:p>
      <w:pPr>
        <w:pStyle w:val="8"/>
        <w:spacing w:line="240" w:lineRule="auto"/>
        <w:ind w:firstLine="137"/>
        <w:rPr>
          <w:rFonts w:ascii="Times New Roman" w:hAnsi="Times New Roman"/>
        </w:rPr>
      </w:pPr>
      <w:bookmarkStart w:id="85" w:name="_Toc56856852"/>
      <w:r>
        <w:rPr>
          <w:rFonts w:ascii="Times New Roman" w:hAnsi="Times New Roman"/>
        </w:rPr>
        <w:t xml:space="preserve">1.7 </w:t>
      </w:r>
      <w:r>
        <w:rPr>
          <w:rFonts w:hint="eastAsia" w:ascii="Times New Roman" w:hAnsi="Times New Roman"/>
        </w:rPr>
        <w:t>语言文字</w:t>
      </w:r>
      <w:bookmarkEnd w:id="85"/>
    </w:p>
    <w:p>
      <w:pPr>
        <w:spacing w:line="4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8"/>
        <w:spacing w:line="240" w:lineRule="auto"/>
        <w:ind w:firstLine="137"/>
        <w:rPr>
          <w:rFonts w:ascii="Times New Roman" w:hAnsi="Times New Roman"/>
        </w:rPr>
      </w:pPr>
      <w:bookmarkStart w:id="86" w:name="_Toc56856853"/>
      <w:r>
        <w:rPr>
          <w:rFonts w:ascii="Times New Roman" w:hAnsi="Times New Roman"/>
        </w:rPr>
        <w:t xml:space="preserve">1.8 </w:t>
      </w:r>
      <w:r>
        <w:rPr>
          <w:rFonts w:hint="eastAsia" w:ascii="Times New Roman" w:hAnsi="Times New Roman"/>
        </w:rPr>
        <w:t>计量单位</w:t>
      </w:r>
      <w:bookmarkEnd w:id="86"/>
    </w:p>
    <w:p>
      <w:pPr>
        <w:spacing w:line="400" w:lineRule="exact"/>
        <w:ind w:firstLine="420" w:firstLineChars="200"/>
        <w:rPr>
          <w:rFonts w:ascii="Times New Roman" w:hAnsi="Times New Roman"/>
        </w:rPr>
      </w:pPr>
      <w:r>
        <w:rPr>
          <w:rFonts w:ascii="Times New Roman" w:hAnsi="Times New Roman"/>
        </w:rPr>
        <w:t>所有计量均采用中华人民共和国法定计量单位。</w:t>
      </w:r>
    </w:p>
    <w:p>
      <w:pPr>
        <w:pStyle w:val="8"/>
        <w:spacing w:line="240" w:lineRule="auto"/>
        <w:ind w:firstLine="137"/>
        <w:rPr>
          <w:rFonts w:ascii="Times New Roman" w:hAnsi="Times New Roman"/>
        </w:rPr>
      </w:pPr>
      <w:bookmarkStart w:id="87" w:name="_Toc56856854"/>
      <w:bookmarkStart w:id="88" w:name="_Toc152042315"/>
      <w:bookmarkStart w:id="89" w:name="_Toc361508594"/>
      <w:bookmarkStart w:id="90" w:name="_Toc482188480"/>
      <w:bookmarkStart w:id="91" w:name="_Toc300834959"/>
      <w:bookmarkStart w:id="92" w:name="_Toc370676289"/>
      <w:bookmarkStart w:id="93" w:name="_Toc384308219"/>
      <w:bookmarkStart w:id="94" w:name="_Toc391393967"/>
      <w:bookmarkStart w:id="95" w:name="_Toc152045539"/>
      <w:bookmarkStart w:id="96" w:name="_Toc247527563"/>
      <w:bookmarkStart w:id="97" w:name="_Toc144974507"/>
      <w:bookmarkStart w:id="98" w:name="_Toc247513962"/>
      <w:r>
        <w:rPr>
          <w:rFonts w:ascii="Times New Roman" w:hAnsi="Times New Roman"/>
        </w:rPr>
        <w:t xml:space="preserve">1.9 </w:t>
      </w:r>
      <w:r>
        <w:rPr>
          <w:rFonts w:hint="eastAsia" w:ascii="Times New Roman" w:hAnsi="Times New Roman"/>
        </w:rPr>
        <w:t>踏勘现场</w:t>
      </w:r>
      <w:bookmarkEnd w:id="87"/>
      <w:bookmarkEnd w:id="88"/>
      <w:bookmarkEnd w:id="89"/>
      <w:bookmarkEnd w:id="90"/>
      <w:bookmarkEnd w:id="91"/>
      <w:bookmarkEnd w:id="92"/>
      <w:bookmarkEnd w:id="93"/>
      <w:bookmarkEnd w:id="94"/>
      <w:bookmarkEnd w:id="95"/>
      <w:bookmarkEnd w:id="96"/>
      <w:bookmarkEnd w:id="97"/>
      <w:bookmarkEnd w:id="98"/>
    </w:p>
    <w:p>
      <w:pPr>
        <w:spacing w:line="400" w:lineRule="exact"/>
        <w:ind w:firstLine="420" w:firstLineChars="200"/>
        <w:rPr>
          <w:rFonts w:ascii="Times New Roman" w:hAnsi="Times New Roman"/>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Times New Roman" w:hAnsi="Times New Roman"/>
        </w:rPr>
      </w:pPr>
      <w:r>
        <w:rPr>
          <w:rFonts w:hint="eastAsia" w:ascii="Times New Roman" w:hAnsi="Times New Roman"/>
        </w:rPr>
        <w:t>1.9.2 投标人须知前附表中没有规定组织踏勘现场的，投标人应自行对工程现场和周围环境进行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spacing w:line="400" w:lineRule="exact"/>
        <w:ind w:firstLine="420" w:firstLineChars="200"/>
        <w:rPr>
          <w:rFonts w:ascii="Times New Roman" w:hAnsi="Times New Roman"/>
        </w:rPr>
      </w:pPr>
      <w:r>
        <w:rPr>
          <w:rFonts w:ascii="Times New Roman" w:hAnsi="Times New Roman"/>
        </w:rPr>
        <w:t>1.9.</w:t>
      </w:r>
      <w:r>
        <w:rPr>
          <w:rFonts w:hint="eastAsia" w:ascii="Times New Roman" w:hAnsi="Times New Roman"/>
        </w:rPr>
        <w:t>3</w:t>
      </w:r>
      <w:r>
        <w:rPr>
          <w:rFonts w:ascii="Times New Roman" w:hAnsi="Times New Roman"/>
        </w:rPr>
        <w:t xml:space="preserve"> 投标人踏勘现场发生的费用自理。</w:t>
      </w:r>
    </w:p>
    <w:p>
      <w:pPr>
        <w:spacing w:line="400" w:lineRule="exact"/>
        <w:ind w:firstLine="420" w:firstLineChars="200"/>
        <w:rPr>
          <w:rFonts w:ascii="Times New Roman" w:hAnsi="Times New Roman"/>
        </w:rPr>
      </w:pPr>
      <w:r>
        <w:rPr>
          <w:rFonts w:ascii="Times New Roman" w:hAnsi="Times New Roman"/>
        </w:rPr>
        <w:t>1.9.</w:t>
      </w:r>
      <w:r>
        <w:rPr>
          <w:rFonts w:hint="eastAsia" w:ascii="Times New Roman" w:hAnsi="Times New Roman"/>
        </w:rPr>
        <w:t>4</w:t>
      </w:r>
      <w:r>
        <w:rPr>
          <w:rFonts w:ascii="Times New Roman" w:hAnsi="Times New Roman"/>
        </w:rPr>
        <w:t xml:space="preserve"> 除招标人的原因外，投标人自行负责在踏勘现场中所发生的人员伤亡和财产损失。</w:t>
      </w:r>
    </w:p>
    <w:p>
      <w:pPr>
        <w:spacing w:line="400" w:lineRule="exact"/>
        <w:ind w:firstLine="420" w:firstLineChars="200"/>
        <w:rPr>
          <w:rFonts w:ascii="Times New Roman" w:hAnsi="Times New Roman"/>
        </w:rPr>
      </w:pPr>
      <w:r>
        <w:rPr>
          <w:rFonts w:ascii="Times New Roman" w:hAnsi="Times New Roman"/>
        </w:rPr>
        <w:t>1.9.</w:t>
      </w:r>
      <w:r>
        <w:rPr>
          <w:rFonts w:hint="eastAsia" w:ascii="Times New Roman" w:hAnsi="Times New Roman"/>
        </w:rPr>
        <w:t>5</w:t>
      </w:r>
      <w:r>
        <w:rPr>
          <w:rFonts w:ascii="Times New Roman" w:hAnsi="Times New Roman"/>
        </w:rPr>
        <w:t xml:space="preserve"> 招标人在踏勘现场中介绍的工程场地和相关的周边环境情况，供投标人在编制投标文件时参考，招标人不对投标人据此作出的判断和决策负责。</w:t>
      </w:r>
    </w:p>
    <w:p>
      <w:pPr>
        <w:pStyle w:val="8"/>
        <w:spacing w:line="240" w:lineRule="auto"/>
        <w:ind w:firstLine="137"/>
        <w:rPr>
          <w:rFonts w:ascii="Times New Roman" w:hAnsi="Times New Roman"/>
        </w:rPr>
      </w:pPr>
      <w:bookmarkStart w:id="99" w:name="_Toc56856855"/>
      <w:r>
        <w:rPr>
          <w:rFonts w:ascii="Times New Roman" w:hAnsi="Times New Roman"/>
        </w:rPr>
        <w:t xml:space="preserve">1.10 </w:t>
      </w:r>
      <w:r>
        <w:rPr>
          <w:rFonts w:hint="eastAsia" w:ascii="Times New Roman" w:hAnsi="Times New Roman"/>
        </w:rPr>
        <w:t>投标预备会</w:t>
      </w:r>
      <w:bookmarkEnd w:id="99"/>
    </w:p>
    <w:p>
      <w:pPr>
        <w:spacing w:line="400" w:lineRule="exact"/>
        <w:ind w:firstLine="420" w:firstLineChars="200"/>
        <w:rPr>
          <w:rFonts w:ascii="Times New Roman" w:hAnsi="Times New Roman"/>
        </w:rPr>
      </w:pPr>
      <w:r>
        <w:rPr>
          <w:rFonts w:ascii="Times New Roman" w:hAnsi="Times New Roman"/>
        </w:rPr>
        <w:t>1.10.1 投标人须知前附表规定召开投标预备会的，招标人按投标人须知前附表规定的时间和地点召开投标预备会，澄清投标人提出的问题。</w:t>
      </w:r>
    </w:p>
    <w:p>
      <w:pPr>
        <w:spacing w:line="400" w:lineRule="exact"/>
        <w:ind w:firstLine="420" w:firstLineChars="200"/>
        <w:rPr>
          <w:rFonts w:ascii="Times New Roman" w:hAnsi="Times New Roman"/>
        </w:rPr>
      </w:pPr>
      <w:r>
        <w:rPr>
          <w:rFonts w:ascii="Times New Roman" w:hAnsi="Times New Roman"/>
        </w:rPr>
        <w:t>1.10.2 投标人应按投标人须知前附表规定的时间和形式将提出的问题送达招标人，以便招标人在会议期间澄清。</w:t>
      </w:r>
    </w:p>
    <w:p>
      <w:pPr>
        <w:spacing w:line="400" w:lineRule="exact"/>
        <w:ind w:firstLine="420" w:firstLineChars="200"/>
        <w:rPr>
          <w:rFonts w:ascii="Times New Roman" w:hAnsi="Times New Roman"/>
        </w:rPr>
      </w:pPr>
      <w:r>
        <w:rPr>
          <w:rFonts w:ascii="Times New Roman" w:hAnsi="Times New Roman"/>
        </w:rPr>
        <w:t>1.10.3 投标预备会后，招标人将对投标人所提问题的澄清，以投标人须知前附表规定的形式通知所有购买招标文件的投标人。该澄清内容为招标文件的组成部分。</w:t>
      </w:r>
    </w:p>
    <w:p>
      <w:pPr>
        <w:pStyle w:val="8"/>
        <w:spacing w:line="240" w:lineRule="auto"/>
        <w:ind w:firstLine="137"/>
        <w:rPr>
          <w:rFonts w:ascii="Times New Roman" w:hAnsi="Times New Roman"/>
        </w:rPr>
      </w:pPr>
      <w:bookmarkStart w:id="100" w:name="_Toc56856856"/>
      <w:r>
        <w:rPr>
          <w:rFonts w:ascii="Times New Roman" w:hAnsi="Times New Roman"/>
        </w:rPr>
        <w:t xml:space="preserve">1.11 </w:t>
      </w:r>
      <w:r>
        <w:rPr>
          <w:rFonts w:hint="eastAsia" w:ascii="Times New Roman" w:hAnsi="Times New Roman"/>
        </w:rPr>
        <w:t>分包</w:t>
      </w:r>
      <w:bookmarkEnd w:id="100"/>
    </w:p>
    <w:p>
      <w:pPr>
        <w:spacing w:line="400" w:lineRule="exact"/>
        <w:ind w:firstLine="420" w:firstLineChars="200"/>
        <w:rPr>
          <w:rFonts w:ascii="Times New Roman" w:hAnsi="Times New Roman"/>
          <w:szCs w:val="20"/>
        </w:rPr>
      </w:pPr>
      <w:r>
        <w:rPr>
          <w:rFonts w:ascii="Times New Roman" w:hAnsi="Times New Roman"/>
        </w:rPr>
        <w:t>1.11.1 投标人拟在中标后将中标项目的非主体</w:t>
      </w:r>
      <w:r>
        <w:rPr>
          <w:rFonts w:hint="eastAsia" w:ascii="Times New Roman" w:hAnsi="Times New Roman"/>
        </w:rPr>
        <w:t>、非关键性</w:t>
      </w:r>
      <w:r>
        <w:rPr>
          <w:rFonts w:ascii="Times New Roman" w:hAnsi="Times New Roman"/>
        </w:rPr>
        <w:t>工作进行分包的，应符合投标人须知前附表规定的分包内容、分包金额和资质要求等限制性条件，除投标人须知前附表规定的非主体</w:t>
      </w:r>
      <w:r>
        <w:rPr>
          <w:rFonts w:hint="eastAsia" w:ascii="Times New Roman" w:hAnsi="Times New Roman"/>
        </w:rPr>
        <w:t>、非关键性工作</w:t>
      </w:r>
      <w:r>
        <w:rPr>
          <w:rFonts w:ascii="Times New Roman" w:hAnsi="Times New Roman"/>
        </w:rPr>
        <w:t xml:space="preserve">外，其他工作不得分包。 </w:t>
      </w:r>
    </w:p>
    <w:p>
      <w:pPr>
        <w:spacing w:line="400" w:lineRule="exact"/>
        <w:ind w:firstLine="420" w:firstLineChars="200"/>
        <w:rPr>
          <w:rFonts w:ascii="Times New Roman" w:hAnsi="Times New Roman"/>
        </w:rPr>
      </w:pPr>
      <w:r>
        <w:rPr>
          <w:rFonts w:ascii="Times New Roman" w:hAnsi="Times New Roman"/>
        </w:rPr>
        <w:t>1.11.2中标人不得向他人转让中标项目，接受分包的人不得再次分包。中标人应当就分包项目向招标人负责，接受分包的人就分包项目承担连带责任。</w:t>
      </w:r>
    </w:p>
    <w:p>
      <w:pPr>
        <w:pStyle w:val="8"/>
        <w:spacing w:line="240" w:lineRule="auto"/>
        <w:ind w:firstLine="137"/>
        <w:rPr>
          <w:rFonts w:ascii="Times New Roman" w:hAnsi="Times New Roman"/>
        </w:rPr>
      </w:pPr>
      <w:bookmarkStart w:id="101" w:name="_Toc56856857"/>
      <w:r>
        <w:rPr>
          <w:rFonts w:ascii="Times New Roman" w:hAnsi="Times New Roman"/>
        </w:rPr>
        <w:t xml:space="preserve">1.12 </w:t>
      </w:r>
      <w:r>
        <w:rPr>
          <w:rFonts w:hint="eastAsia" w:ascii="Times New Roman" w:hAnsi="Times New Roman"/>
        </w:rPr>
        <w:t>响应和偏差</w:t>
      </w:r>
      <w:bookmarkEnd w:id="101"/>
    </w:p>
    <w:p>
      <w:pPr>
        <w:spacing w:line="400" w:lineRule="exact"/>
        <w:ind w:firstLine="420" w:firstLineChars="200"/>
        <w:rPr>
          <w:rFonts w:ascii="Times New Roman" w:hAnsi="Times New Roman"/>
        </w:rPr>
      </w:pPr>
      <w:r>
        <w:rPr>
          <w:rFonts w:ascii="Times New Roman" w:hAnsi="Times New Roman"/>
        </w:rPr>
        <w:t>1.12.1投标文件应当对招标文件的实质性要求和条件作出满足性或更有利于招标人的响应，否则，投标人的投标将被否决。</w:t>
      </w:r>
    </w:p>
    <w:p>
      <w:pPr>
        <w:spacing w:line="400" w:lineRule="exact"/>
        <w:ind w:firstLine="420" w:firstLineChars="200"/>
        <w:rPr>
          <w:rFonts w:ascii="Times New Roman" w:hAnsi="Times New Roman"/>
        </w:rPr>
      </w:pPr>
      <w:r>
        <w:rPr>
          <w:rFonts w:ascii="Times New Roman" w:hAnsi="Times New Roman"/>
        </w:rPr>
        <w:t xml:space="preserve">1.12.2 </w:t>
      </w:r>
      <w:r>
        <w:rPr>
          <w:rFonts w:ascii="Times New Roman" w:hAnsi="Times New Roman"/>
          <w:szCs w:val="21"/>
        </w:rPr>
        <w:t>投标人应根据招标文件的要求提供</w:t>
      </w:r>
      <w:r>
        <w:rPr>
          <w:rFonts w:ascii="Times New Roman" w:hAnsi="Times New Roman"/>
        </w:rPr>
        <w:t>投标方案等内容以对招标文件作出响应。</w:t>
      </w:r>
    </w:p>
    <w:p>
      <w:pPr>
        <w:spacing w:line="400" w:lineRule="exact"/>
        <w:ind w:firstLine="435"/>
        <w:rPr>
          <w:rFonts w:ascii="Times New Roman" w:hAnsi="Times New Roman"/>
        </w:rPr>
      </w:pPr>
      <w:r>
        <w:rPr>
          <w:rFonts w:ascii="Times New Roman" w:hAnsi="Times New Roman"/>
        </w:rPr>
        <w:t>1.12.3投标人须知前附表允许投标文件偏离招标文件某些要求的，偏差应当符合招标文件规定的偏差范围和幅度。</w:t>
      </w:r>
    </w:p>
    <w:p>
      <w:pPr>
        <w:pStyle w:val="7"/>
        <w:rPr>
          <w:rFonts w:ascii="Times New Roman" w:hAnsi="Times New Roman"/>
        </w:rPr>
      </w:pPr>
      <w:bookmarkStart w:id="102" w:name="_Toc56856858"/>
      <w:r>
        <w:rPr>
          <w:rFonts w:ascii="Times New Roman" w:hAnsi="Times New Roman"/>
        </w:rPr>
        <w:t xml:space="preserve">2. </w:t>
      </w:r>
      <w:r>
        <w:rPr>
          <w:rFonts w:hint="eastAsia" w:ascii="Times New Roman" w:hAnsi="Times New Roman"/>
        </w:rPr>
        <w:t>招标文件</w:t>
      </w:r>
      <w:bookmarkEnd w:id="102"/>
    </w:p>
    <w:p>
      <w:pPr>
        <w:pStyle w:val="8"/>
        <w:spacing w:line="240" w:lineRule="auto"/>
        <w:ind w:firstLine="137"/>
        <w:rPr>
          <w:rFonts w:ascii="Times New Roman" w:hAnsi="Times New Roman"/>
        </w:rPr>
      </w:pPr>
      <w:bookmarkStart w:id="103" w:name="_Toc56856859"/>
      <w:r>
        <w:rPr>
          <w:rFonts w:ascii="Times New Roman" w:hAnsi="Times New Roman"/>
        </w:rPr>
        <w:t xml:space="preserve">2.1 </w:t>
      </w:r>
      <w:r>
        <w:rPr>
          <w:rFonts w:hint="eastAsia" w:ascii="Times New Roman" w:hAnsi="Times New Roman"/>
        </w:rPr>
        <w:t>招标文件的组成</w:t>
      </w:r>
      <w:bookmarkEnd w:id="103"/>
    </w:p>
    <w:p>
      <w:pPr>
        <w:spacing w:line="400" w:lineRule="exact"/>
        <w:ind w:firstLine="359" w:firstLineChars="171"/>
        <w:rPr>
          <w:rFonts w:ascii="Times New Roman" w:hAnsi="Times New Roman"/>
        </w:rPr>
      </w:pPr>
      <w:r>
        <w:rPr>
          <w:rFonts w:ascii="Times New Roman" w:hAnsi="Times New Roman"/>
        </w:rPr>
        <w:t>本招标文件包括：</w:t>
      </w:r>
    </w:p>
    <w:p>
      <w:pPr>
        <w:spacing w:line="400" w:lineRule="exact"/>
        <w:ind w:firstLine="359" w:firstLineChars="171"/>
        <w:rPr>
          <w:rFonts w:ascii="Times New Roman" w:hAnsi="Times New Roman"/>
        </w:rPr>
      </w:pPr>
      <w:r>
        <w:rPr>
          <w:rFonts w:ascii="Times New Roman" w:hAnsi="Times New Roman"/>
        </w:rPr>
        <w:t>（1）招标公告（或投标邀请书）；</w:t>
      </w:r>
    </w:p>
    <w:p>
      <w:pPr>
        <w:spacing w:line="400" w:lineRule="exact"/>
        <w:ind w:firstLine="359" w:firstLineChars="171"/>
        <w:rPr>
          <w:rFonts w:ascii="Times New Roman" w:hAnsi="Times New Roman"/>
        </w:rPr>
      </w:pPr>
      <w:r>
        <w:rPr>
          <w:rFonts w:ascii="Times New Roman" w:hAnsi="Times New Roman"/>
        </w:rPr>
        <w:t>（2）投标人须知；</w:t>
      </w:r>
    </w:p>
    <w:p>
      <w:pPr>
        <w:spacing w:line="400" w:lineRule="exact"/>
        <w:ind w:firstLine="359" w:firstLineChars="171"/>
        <w:rPr>
          <w:rFonts w:ascii="Times New Roman" w:hAnsi="Times New Roman"/>
        </w:rPr>
      </w:pPr>
      <w:r>
        <w:rPr>
          <w:rFonts w:ascii="Times New Roman" w:hAnsi="Times New Roman"/>
        </w:rPr>
        <w:t>（3）评标办法；</w:t>
      </w:r>
    </w:p>
    <w:p>
      <w:pPr>
        <w:spacing w:line="400" w:lineRule="exact"/>
        <w:ind w:firstLine="359" w:firstLineChars="171"/>
        <w:rPr>
          <w:rFonts w:ascii="Times New Roman" w:hAnsi="Times New Roman"/>
        </w:rPr>
      </w:pPr>
      <w:r>
        <w:rPr>
          <w:rFonts w:ascii="Times New Roman" w:hAnsi="Times New Roman"/>
        </w:rPr>
        <w:t>（4）合同条款及格式；</w:t>
      </w:r>
    </w:p>
    <w:p>
      <w:pPr>
        <w:spacing w:line="400" w:lineRule="exact"/>
        <w:ind w:firstLine="359" w:firstLineChars="171"/>
        <w:rPr>
          <w:rFonts w:ascii="Times New Roman" w:hAnsi="Times New Roman"/>
        </w:rPr>
      </w:pPr>
      <w:r>
        <w:rPr>
          <w:rFonts w:ascii="Times New Roman" w:hAnsi="Times New Roman"/>
        </w:rPr>
        <w:t>（5）</w:t>
      </w:r>
      <w:r>
        <w:rPr>
          <w:rFonts w:hint="eastAsia" w:ascii="Times New Roman" w:hAnsi="Times New Roman"/>
        </w:rPr>
        <w:t>发包人要求</w:t>
      </w:r>
      <w:r>
        <w:rPr>
          <w:rFonts w:ascii="Times New Roman" w:hAnsi="Times New Roman"/>
        </w:rPr>
        <w:t>；</w:t>
      </w:r>
    </w:p>
    <w:p>
      <w:pPr>
        <w:spacing w:line="400" w:lineRule="exact"/>
        <w:ind w:firstLine="359" w:firstLineChars="171"/>
        <w:rPr>
          <w:rFonts w:ascii="Times New Roman" w:hAnsi="Times New Roman"/>
        </w:rPr>
      </w:pPr>
      <w:r>
        <w:rPr>
          <w:rFonts w:ascii="Times New Roman" w:hAnsi="Times New Roman"/>
        </w:rPr>
        <w:t>（6）投标文件格式；</w:t>
      </w:r>
    </w:p>
    <w:p>
      <w:pPr>
        <w:spacing w:line="400" w:lineRule="exact"/>
        <w:ind w:firstLine="359" w:firstLineChars="171"/>
        <w:rPr>
          <w:rFonts w:ascii="Times New Roman" w:hAnsi="Times New Roman"/>
        </w:rPr>
      </w:pPr>
      <w:r>
        <w:rPr>
          <w:rFonts w:ascii="Times New Roman" w:hAnsi="Times New Roman"/>
        </w:rPr>
        <w:t>（7）投标人须知前附表规定的其他资料。</w:t>
      </w:r>
    </w:p>
    <w:p>
      <w:pPr>
        <w:spacing w:line="400" w:lineRule="exact"/>
        <w:ind w:firstLine="420" w:firstLineChars="200"/>
        <w:rPr>
          <w:rFonts w:ascii="Times New Roman" w:hAnsi="Times New Roman"/>
        </w:rPr>
      </w:pPr>
      <w:r>
        <w:rPr>
          <w:rFonts w:ascii="Times New Roman" w:hAnsi="Times New Roman"/>
        </w:rPr>
        <w:t>根据本章第1.10款、第2.2款和第2.3款对招标文件所作的澄清、修改，构成招标文件的组成部分。</w:t>
      </w:r>
    </w:p>
    <w:p>
      <w:pPr>
        <w:pStyle w:val="8"/>
        <w:spacing w:line="240" w:lineRule="auto"/>
        <w:ind w:firstLine="137"/>
        <w:rPr>
          <w:rFonts w:ascii="Times New Roman" w:hAnsi="Times New Roman"/>
        </w:rPr>
      </w:pPr>
      <w:bookmarkStart w:id="104" w:name="_Toc56856860"/>
      <w:r>
        <w:rPr>
          <w:rFonts w:ascii="Times New Roman" w:hAnsi="Times New Roman"/>
        </w:rPr>
        <w:t xml:space="preserve">2.2 </w:t>
      </w:r>
      <w:r>
        <w:rPr>
          <w:rFonts w:hint="eastAsia" w:ascii="Times New Roman" w:hAnsi="Times New Roman"/>
        </w:rPr>
        <w:t>招标文件的澄清</w:t>
      </w:r>
      <w:bookmarkEnd w:id="104"/>
    </w:p>
    <w:p>
      <w:pPr>
        <w:spacing w:line="4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Times New Roman" w:hAnsi="Times New Roman"/>
        </w:rPr>
      </w:pPr>
      <w:r>
        <w:rPr>
          <w:rFonts w:ascii="Times New Roman" w:hAnsi="Times New Roma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400" w:lineRule="exact"/>
        <w:ind w:firstLine="420" w:firstLineChars="200"/>
        <w:rPr>
          <w:rFonts w:ascii="Times New Roman" w:hAnsi="Times New Roman"/>
        </w:rPr>
      </w:pPr>
      <w:r>
        <w:rPr>
          <w:rFonts w:ascii="Times New Roman" w:hAnsi="Times New Roman"/>
        </w:rPr>
        <w:t>2.2.3</w:t>
      </w:r>
      <w:r>
        <w:rPr>
          <w:rFonts w:hint="eastAsia" w:ascii="Times New Roman" w:hAnsi="Times New Roman"/>
        </w:rPr>
        <w:t>澄清内容一经发布，视作已发布给所有投标人。澄清文件将作为招标文件的一部分，视为签订合同和项目结算的依据</w:t>
      </w:r>
      <w:r>
        <w:rPr>
          <w:rFonts w:ascii="Times New Roman" w:hAnsi="Times New Roman"/>
        </w:rPr>
        <w:t>。</w:t>
      </w:r>
    </w:p>
    <w:p>
      <w:pPr>
        <w:spacing w:line="400" w:lineRule="exact"/>
        <w:ind w:firstLine="420" w:firstLineChars="200"/>
        <w:rPr>
          <w:rFonts w:ascii="Times New Roman" w:hAnsi="Times New Roman"/>
        </w:rPr>
      </w:pPr>
      <w:r>
        <w:rPr>
          <w:rFonts w:ascii="Times New Roman" w:hAnsi="Times New Roman"/>
        </w:rPr>
        <w:t>2.2.4 除非招标人认为确有必要答复，否则，招标人有权拒绝回复投标人在</w:t>
      </w:r>
      <w:r>
        <w:rPr>
          <w:rFonts w:hint="eastAsia" w:ascii="Times New Roman" w:hAnsi="Times New Roman"/>
        </w:rPr>
        <w:t>本章第2.2.1项</w:t>
      </w:r>
      <w:r>
        <w:rPr>
          <w:rFonts w:ascii="Times New Roman" w:hAnsi="Times New Roman"/>
        </w:rPr>
        <w:t>规定的时间后的任何澄清要求。</w:t>
      </w:r>
    </w:p>
    <w:p>
      <w:pPr>
        <w:pStyle w:val="8"/>
        <w:spacing w:line="240" w:lineRule="auto"/>
        <w:ind w:firstLine="137"/>
        <w:rPr>
          <w:rFonts w:ascii="Times New Roman" w:hAnsi="Times New Roman"/>
        </w:rPr>
      </w:pPr>
      <w:bookmarkStart w:id="105" w:name="_Toc56856861"/>
      <w:bookmarkStart w:id="106" w:name="_Toc352691479"/>
      <w:r>
        <w:rPr>
          <w:rFonts w:ascii="Times New Roman" w:hAnsi="Times New Roman"/>
        </w:rPr>
        <w:t xml:space="preserve">2.3 </w:t>
      </w:r>
      <w:r>
        <w:rPr>
          <w:rFonts w:hint="eastAsia" w:ascii="Times New Roman" w:hAnsi="Times New Roman"/>
        </w:rPr>
        <w:t>招标文件的修</w:t>
      </w:r>
      <w:bookmarkStart w:id="107" w:name="_Toc16514"/>
      <w:bookmarkStart w:id="108" w:name="_Toc369531521"/>
      <w:r>
        <w:rPr>
          <w:rFonts w:hint="eastAsia" w:ascii="Times New Roman" w:hAnsi="Times New Roman"/>
        </w:rPr>
        <w:t>改</w:t>
      </w:r>
      <w:bookmarkEnd w:id="105"/>
    </w:p>
    <w:p>
      <w:pPr>
        <w:spacing w:line="400" w:lineRule="exact"/>
        <w:ind w:firstLine="420" w:firstLineChars="200"/>
        <w:rPr>
          <w:rFonts w:ascii="Times New Roman" w:hAnsi="Times New Roman"/>
        </w:rPr>
      </w:pPr>
      <w:r>
        <w:rPr>
          <w:rFonts w:ascii="Times New Roman" w:hAnsi="Times New Roman"/>
        </w:rPr>
        <w:t>2.3.1</w:t>
      </w:r>
      <w:r>
        <w:rPr>
          <w:rFonts w:hint="eastAsia" w:ascii="Times New Roman" w:hAnsi="Times New Roman"/>
        </w:rPr>
        <w:t>招标人可以书面形式修改招标文件，并通过本章第2.2.2项的方式发布，一经发布，即视为已送达所有潜在投标人。</w:t>
      </w:r>
    </w:p>
    <w:bookmarkEnd w:id="106"/>
    <w:bookmarkEnd w:id="107"/>
    <w:bookmarkEnd w:id="108"/>
    <w:p>
      <w:pPr>
        <w:spacing w:line="400" w:lineRule="exact"/>
        <w:ind w:firstLine="420" w:firstLineChars="200"/>
        <w:rPr>
          <w:rFonts w:ascii="Times New Roman" w:hAnsi="Times New Roman"/>
        </w:rPr>
      </w:pPr>
      <w:r>
        <w:rPr>
          <w:rFonts w:ascii="Times New Roman" w:hAnsi="Times New Roman"/>
        </w:rPr>
        <w:t>2.3.2</w:t>
      </w:r>
      <w:r>
        <w:rPr>
          <w:rFonts w:hint="eastAsia" w:ascii="Times New Roman" w:hAnsi="Times New Roman"/>
        </w:rPr>
        <w:t>修改内容一经在招标代理机构网站上发布，视作已发布给所有投标人。修改的文件将作为招标文件的一部分，视为签订合同和项目结算的依据</w:t>
      </w:r>
      <w:bookmarkStart w:id="109" w:name="_Toc247527564"/>
      <w:bookmarkStart w:id="110" w:name="_Toc352691484"/>
      <w:bookmarkStart w:id="111" w:name="_Toc152042316"/>
      <w:bookmarkStart w:id="112" w:name="_Toc300834960"/>
      <w:bookmarkStart w:id="113" w:name="_Toc361508595"/>
      <w:bookmarkStart w:id="114" w:name="_Toc384308220"/>
      <w:bookmarkStart w:id="115" w:name="_Toc247513963"/>
      <w:bookmarkStart w:id="116" w:name="_Toc152045540"/>
      <w:bookmarkStart w:id="117" w:name="_Toc16623"/>
      <w:bookmarkStart w:id="118" w:name="_Toc369531526"/>
      <w:bookmarkStart w:id="119" w:name="_Toc144974508"/>
      <w:r>
        <w:rPr>
          <w:rFonts w:ascii="Times New Roman" w:hAnsi="Times New Roman"/>
        </w:rPr>
        <w:t>。</w:t>
      </w:r>
    </w:p>
    <w:p>
      <w:pPr>
        <w:pStyle w:val="8"/>
        <w:spacing w:line="240" w:lineRule="auto"/>
        <w:ind w:firstLine="137"/>
        <w:rPr>
          <w:rFonts w:ascii="Times New Roman" w:hAnsi="Times New Roman"/>
        </w:rPr>
      </w:pPr>
      <w:bookmarkStart w:id="120" w:name="_Toc56856862"/>
      <w:r>
        <w:rPr>
          <w:rFonts w:ascii="Times New Roman" w:hAnsi="Times New Roman"/>
        </w:rPr>
        <w:t>2.</w:t>
      </w:r>
      <w:bookmarkEnd w:id="109"/>
      <w:bookmarkEnd w:id="110"/>
      <w:bookmarkEnd w:id="111"/>
      <w:bookmarkEnd w:id="112"/>
      <w:bookmarkEnd w:id="113"/>
      <w:bookmarkEnd w:id="114"/>
      <w:bookmarkEnd w:id="115"/>
      <w:bookmarkEnd w:id="116"/>
      <w:bookmarkEnd w:id="117"/>
      <w:bookmarkEnd w:id="118"/>
      <w:bookmarkEnd w:id="119"/>
      <w:r>
        <w:rPr>
          <w:rFonts w:ascii="Times New Roman" w:hAnsi="Times New Roman"/>
        </w:rPr>
        <w:t>4 招标文件的异议</w:t>
      </w:r>
      <w:bookmarkEnd w:id="120"/>
    </w:p>
    <w:p>
      <w:pPr>
        <w:spacing w:line="400" w:lineRule="exact"/>
        <w:ind w:firstLine="420" w:firstLineChars="200"/>
        <w:rPr>
          <w:rFonts w:ascii="Times New Roman" w:hAnsi="Times New Roman"/>
        </w:rPr>
      </w:pPr>
      <w:r>
        <w:rPr>
          <w:rFonts w:ascii="Times New Roman" w:hAnsi="Times New Roman"/>
        </w:rPr>
        <w:t>投标人或者其他利害关系人对招标文件有异议的，应当在投标截止时间10日前以书面形式提出。招标人将在收到异议之日起3日内作出答复；作出答复前，将暂停招标投标活动。</w:t>
      </w:r>
    </w:p>
    <w:p>
      <w:pPr>
        <w:pStyle w:val="7"/>
        <w:rPr>
          <w:rFonts w:ascii="Times New Roman" w:hAnsi="Times New Roman"/>
        </w:rPr>
      </w:pPr>
      <w:bookmarkStart w:id="121" w:name="_Toc56856863"/>
      <w:r>
        <w:rPr>
          <w:rFonts w:ascii="Times New Roman" w:hAnsi="Times New Roman"/>
        </w:rPr>
        <w:t xml:space="preserve">3. </w:t>
      </w:r>
      <w:r>
        <w:rPr>
          <w:rFonts w:hint="eastAsia" w:ascii="Times New Roman" w:hAnsi="Times New Roman"/>
        </w:rPr>
        <w:t>投标文件</w:t>
      </w:r>
      <w:bookmarkEnd w:id="121"/>
    </w:p>
    <w:p>
      <w:pPr>
        <w:pStyle w:val="8"/>
        <w:spacing w:line="240" w:lineRule="auto"/>
        <w:ind w:firstLine="137"/>
        <w:rPr>
          <w:rFonts w:ascii="Times New Roman" w:hAnsi="Times New Roman"/>
        </w:rPr>
      </w:pPr>
      <w:bookmarkStart w:id="122" w:name="_Toc56856864"/>
      <w:r>
        <w:rPr>
          <w:rFonts w:ascii="Times New Roman" w:hAnsi="Times New Roman"/>
        </w:rPr>
        <w:t xml:space="preserve">3.1 </w:t>
      </w:r>
      <w:r>
        <w:rPr>
          <w:rFonts w:hint="eastAsia" w:ascii="Times New Roman" w:hAnsi="Times New Roman"/>
        </w:rPr>
        <w:t>投标文件的组成</w:t>
      </w:r>
      <w:bookmarkEnd w:id="122"/>
    </w:p>
    <w:p>
      <w:pPr>
        <w:spacing w:line="400" w:lineRule="exact"/>
        <w:rPr>
          <w:rFonts w:ascii="Times New Roman" w:hAnsi="Times New Roman"/>
        </w:rPr>
      </w:pPr>
      <w:r>
        <w:rPr>
          <w:rFonts w:ascii="Times New Roman" w:hAnsi="Times New Roman"/>
        </w:rPr>
        <w:t>　　3.1.1</w:t>
      </w:r>
      <w:r>
        <w:rPr>
          <w:rFonts w:hint="eastAsia" w:ascii="Times New Roman" w:hAnsi="Times New Roman"/>
        </w:rPr>
        <w:t>投标文件应包括招标文件第</w:t>
      </w:r>
      <w:r>
        <w:rPr>
          <w:rFonts w:ascii="Times New Roman" w:hAnsi="Times New Roman"/>
        </w:rPr>
        <w:t>六</w:t>
      </w:r>
      <w:r>
        <w:rPr>
          <w:rFonts w:hint="eastAsia" w:ascii="Times New Roman" w:hAnsi="Times New Roman"/>
        </w:rPr>
        <w:t>章投标文件格式所列内容</w:t>
      </w:r>
      <w:r>
        <w:rPr>
          <w:rFonts w:ascii="Times New Roman" w:hAnsi="Times New Roman"/>
        </w:rPr>
        <w:t>。</w:t>
      </w:r>
    </w:p>
    <w:p>
      <w:pPr>
        <w:spacing w:line="400" w:lineRule="exact"/>
        <w:ind w:firstLine="420" w:firstLineChars="200"/>
        <w:rPr>
          <w:rFonts w:ascii="Times New Roman" w:hAnsi="Times New Roman"/>
        </w:rPr>
      </w:pPr>
      <w:r>
        <w:rPr>
          <w:rFonts w:ascii="Times New Roman" w:hAnsi="Times New Roman"/>
        </w:rPr>
        <w:t>3.1.2投标人在评标过程中作出的符合法律法规和招标文件规定的澄清确认，构成投标文件的组成部分。</w:t>
      </w:r>
    </w:p>
    <w:p>
      <w:pPr>
        <w:pStyle w:val="8"/>
        <w:spacing w:line="240" w:lineRule="auto"/>
        <w:ind w:firstLine="137"/>
        <w:rPr>
          <w:rFonts w:ascii="Times New Roman" w:hAnsi="Times New Roman"/>
        </w:rPr>
      </w:pPr>
      <w:bookmarkStart w:id="123" w:name="_Toc56856865"/>
      <w:r>
        <w:rPr>
          <w:rFonts w:ascii="Times New Roman" w:hAnsi="Times New Roman"/>
        </w:rPr>
        <w:t xml:space="preserve">3.2 </w:t>
      </w:r>
      <w:r>
        <w:rPr>
          <w:rFonts w:hint="eastAsia" w:ascii="Times New Roman" w:hAnsi="Times New Roman"/>
        </w:rPr>
        <w:t>投标报价</w:t>
      </w:r>
      <w:bookmarkEnd w:id="123"/>
    </w:p>
    <w:p>
      <w:pPr>
        <w:spacing w:line="400" w:lineRule="exact"/>
        <w:ind w:firstLine="420" w:firstLineChars="200"/>
        <w:rPr>
          <w:rFonts w:ascii="Times New Roman" w:hAnsi="Times New Roman"/>
        </w:rPr>
      </w:pPr>
      <w:r>
        <w:rPr>
          <w:rFonts w:ascii="Times New Roman" w:hAnsi="Times New Roman"/>
        </w:rPr>
        <w:t>3.2.1投标人应按第六章“投标文件格式”的要求填写</w:t>
      </w:r>
      <w:r>
        <w:rPr>
          <w:rFonts w:hint="eastAsia" w:ascii="Times New Roman" w:hAnsi="Times New Roman"/>
        </w:rPr>
        <w:t>投标报价</w:t>
      </w:r>
      <w:r>
        <w:rPr>
          <w:rFonts w:ascii="Times New Roman" w:hAnsi="Times New Roman"/>
        </w:rPr>
        <w:t>表。</w:t>
      </w:r>
    </w:p>
    <w:p>
      <w:pPr>
        <w:spacing w:line="4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400" w:lineRule="exact"/>
        <w:ind w:firstLine="420" w:firstLineChars="200"/>
        <w:rPr>
          <w:rFonts w:ascii="Times New Roman" w:hAnsi="Times New Roman"/>
        </w:rPr>
      </w:pPr>
      <w:r>
        <w:rPr>
          <w:rFonts w:ascii="Times New Roman" w:hAnsi="Times New Roman"/>
        </w:rPr>
        <w:t>3.2.3</w:t>
      </w:r>
      <w:bookmarkStart w:id="124" w:name="_Toc300834964"/>
      <w:bookmarkEnd w:id="124"/>
      <w:bookmarkStart w:id="125" w:name="_Toc247527568"/>
      <w:bookmarkEnd w:id="125"/>
      <w:bookmarkStart w:id="126" w:name="_Toc15242"/>
      <w:bookmarkEnd w:id="126"/>
      <w:bookmarkStart w:id="127" w:name="_Toc352691487"/>
      <w:bookmarkEnd w:id="127"/>
      <w:bookmarkStart w:id="128" w:name="_Toc152042319"/>
      <w:bookmarkEnd w:id="128"/>
      <w:bookmarkStart w:id="129" w:name="_Toc384308224"/>
      <w:bookmarkEnd w:id="129"/>
      <w:bookmarkStart w:id="130" w:name="_Toc247513967"/>
      <w:bookmarkEnd w:id="130"/>
      <w:bookmarkStart w:id="131" w:name="_Toc152045543"/>
      <w:bookmarkEnd w:id="131"/>
      <w:bookmarkStart w:id="132" w:name="_Toc369531530"/>
      <w:bookmarkEnd w:id="132"/>
      <w:bookmarkStart w:id="133" w:name="_Toc361508599"/>
      <w:bookmarkEnd w:id="133"/>
      <w:bookmarkStart w:id="134" w:name="_Toc144974511"/>
      <w:bookmarkEnd w:id="134"/>
      <w:r>
        <w:rPr>
          <w:rFonts w:hint="eastAsia" w:ascii="Times New Roman" w:hAnsi="Times New Roman"/>
        </w:rPr>
        <w:t xml:space="preserve"> 本项目的报价方式见投标人须知前附表。</w:t>
      </w:r>
      <w:r>
        <w:rPr>
          <w:rFonts w:ascii="Times New Roman" w:hAnsi="Times New Roman"/>
        </w:rPr>
        <w:t>投标人在投标截止时间前修改投标函中的投标报价总额，应同时修改投标文件中的相应报价。此修改须符合本章第4.3款的有关要求。</w:t>
      </w:r>
    </w:p>
    <w:p>
      <w:pPr>
        <w:spacing w:line="400" w:lineRule="exact"/>
        <w:ind w:firstLine="420" w:firstLineChars="200"/>
        <w:rPr>
          <w:rFonts w:ascii="Times New Roman" w:hAnsi="Times New Roman"/>
        </w:rPr>
      </w:pPr>
      <w:r>
        <w:rPr>
          <w:rFonts w:ascii="Times New Roman" w:hAnsi="Times New Roman"/>
        </w:rPr>
        <w:t>3.2.4</w:t>
      </w:r>
      <w:r>
        <w:rPr>
          <w:rFonts w:hint="eastAsia" w:ascii="Times New Roman" w:hAnsi="Times New Roman"/>
        </w:rPr>
        <w:t xml:space="preserve"> </w:t>
      </w:r>
      <w:r>
        <w:rPr>
          <w:rFonts w:ascii="Times New Roman" w:hAnsi="Times New Roman"/>
        </w:rPr>
        <w:t>招标人设有最高投标限价</w:t>
      </w:r>
      <w:r>
        <w:rPr>
          <w:rFonts w:hint="eastAsia" w:ascii="Times New Roman" w:hAnsi="Times New Roman"/>
        </w:rPr>
        <w:t>（招标控制价）</w:t>
      </w:r>
      <w:r>
        <w:rPr>
          <w:rFonts w:ascii="Times New Roman" w:hAnsi="Times New Roman"/>
        </w:rPr>
        <w:t>的，投标人的投标报价不得超过最高投标限价</w:t>
      </w:r>
      <w:r>
        <w:rPr>
          <w:rFonts w:hint="eastAsia" w:ascii="Times New Roman" w:hAnsi="Times New Roman"/>
        </w:rPr>
        <w:t>（招标控制价）</w:t>
      </w:r>
      <w:r>
        <w:rPr>
          <w:rFonts w:ascii="Times New Roman" w:hAnsi="Times New Roman"/>
        </w:rPr>
        <w:t>，最高投标限价</w:t>
      </w:r>
      <w:r>
        <w:rPr>
          <w:rFonts w:hint="eastAsia" w:ascii="Times New Roman" w:hAnsi="Times New Roman"/>
        </w:rPr>
        <w:t>（招标控制价）</w:t>
      </w:r>
      <w:r>
        <w:rPr>
          <w:rFonts w:ascii="Times New Roman" w:hAnsi="Times New Roman"/>
        </w:rPr>
        <w:t>在投标</w:t>
      </w:r>
      <w:bookmarkStart w:id="135" w:name="_Toc369531531"/>
      <w:bookmarkStart w:id="136" w:name="_Toc152045544"/>
      <w:bookmarkStart w:id="137" w:name="_Toc152042320"/>
      <w:bookmarkStart w:id="138" w:name="_Toc247513968"/>
      <w:bookmarkStart w:id="139" w:name="_Toc300834965"/>
      <w:bookmarkStart w:id="140" w:name="_Toc10429"/>
      <w:bookmarkStart w:id="141" w:name="_Toc384308225"/>
      <w:bookmarkStart w:id="142" w:name="_Toc361508600"/>
      <w:bookmarkStart w:id="143" w:name="_Toc352691488"/>
      <w:bookmarkStart w:id="144" w:name="_Toc144974512"/>
      <w:bookmarkStart w:id="145" w:name="_Toc247527569"/>
      <w:r>
        <w:rPr>
          <w:rFonts w:ascii="Times New Roman" w:hAnsi="Times New Roman"/>
        </w:rPr>
        <w:t>人须知前附表中载明。</w:t>
      </w:r>
      <w:bookmarkEnd w:id="135"/>
      <w:bookmarkEnd w:id="136"/>
      <w:bookmarkEnd w:id="137"/>
      <w:bookmarkEnd w:id="138"/>
      <w:bookmarkEnd w:id="139"/>
      <w:bookmarkEnd w:id="140"/>
      <w:bookmarkEnd w:id="141"/>
      <w:bookmarkEnd w:id="142"/>
      <w:bookmarkEnd w:id="143"/>
      <w:bookmarkEnd w:id="144"/>
      <w:bookmarkEnd w:id="145"/>
    </w:p>
    <w:p>
      <w:pPr>
        <w:spacing w:line="400" w:lineRule="exact"/>
        <w:ind w:firstLine="420" w:firstLineChars="200"/>
        <w:rPr>
          <w:rFonts w:ascii="Times New Roman" w:hAnsi="Times New Roman"/>
        </w:rPr>
      </w:pPr>
      <w:r>
        <w:rPr>
          <w:rFonts w:ascii="Times New Roman" w:hAnsi="Times New Roman"/>
        </w:rPr>
        <w:t>3.2.</w:t>
      </w:r>
      <w:r>
        <w:rPr>
          <w:rFonts w:hint="eastAsia" w:ascii="Times New Roman" w:hAnsi="Times New Roman"/>
        </w:rPr>
        <w:t>5</w:t>
      </w:r>
      <w:r>
        <w:rPr>
          <w:rFonts w:ascii="Times New Roman" w:hAnsi="Times New Roman"/>
        </w:rPr>
        <w:t xml:space="preserve"> 投标报价的其他要求见投标人须知前附表。</w:t>
      </w:r>
    </w:p>
    <w:p>
      <w:pPr>
        <w:pStyle w:val="8"/>
        <w:spacing w:line="240" w:lineRule="auto"/>
        <w:ind w:firstLine="137"/>
        <w:rPr>
          <w:rFonts w:ascii="Times New Roman" w:hAnsi="Times New Roman"/>
        </w:rPr>
      </w:pPr>
      <w:bookmarkStart w:id="146" w:name="_Toc56856866"/>
      <w:r>
        <w:rPr>
          <w:rFonts w:ascii="Times New Roman" w:hAnsi="Times New Roman"/>
        </w:rPr>
        <w:t xml:space="preserve">3.3 </w:t>
      </w:r>
      <w:r>
        <w:rPr>
          <w:rFonts w:hint="eastAsia" w:ascii="Times New Roman" w:hAnsi="Times New Roman"/>
        </w:rPr>
        <w:t>投标有效期</w:t>
      </w:r>
      <w:bookmarkEnd w:id="146"/>
    </w:p>
    <w:p>
      <w:pPr>
        <w:spacing w:line="400" w:lineRule="exact"/>
        <w:ind w:firstLine="420" w:firstLineChars="200"/>
        <w:rPr>
          <w:rFonts w:ascii="Times New Roman" w:hAnsi="Times New Roman"/>
        </w:rPr>
      </w:pPr>
      <w:r>
        <w:rPr>
          <w:rFonts w:ascii="Times New Roman" w:hAnsi="Times New Roman"/>
        </w:rPr>
        <w:t>3.3.1 除投标人须知前附表另有规定外，投标有效期为90天。</w:t>
      </w:r>
    </w:p>
    <w:p>
      <w:pPr>
        <w:spacing w:line="4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pPr>
        <w:spacing w:line="4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
        <w:spacing w:line="240" w:lineRule="auto"/>
        <w:ind w:firstLine="137"/>
        <w:rPr>
          <w:rFonts w:ascii="Times New Roman" w:hAnsi="Times New Roman"/>
        </w:rPr>
      </w:pPr>
      <w:bookmarkStart w:id="147" w:name="_Toc56856867"/>
      <w:r>
        <w:rPr>
          <w:rFonts w:ascii="Times New Roman" w:hAnsi="Times New Roman"/>
        </w:rPr>
        <w:t xml:space="preserve">3.4 </w:t>
      </w:r>
      <w:r>
        <w:rPr>
          <w:rFonts w:hint="eastAsia" w:ascii="Times New Roman" w:hAnsi="Times New Roman"/>
        </w:rPr>
        <w:t>投标保证金</w:t>
      </w:r>
      <w:bookmarkEnd w:id="147"/>
    </w:p>
    <w:p>
      <w:pPr>
        <w:spacing w:line="400" w:lineRule="exact"/>
        <w:ind w:firstLine="420" w:firstLineChars="200"/>
        <w:rPr>
          <w:rFonts w:ascii="Times New Roman" w:hAnsi="Times New Roman"/>
        </w:rPr>
      </w:pPr>
      <w:r>
        <w:rPr>
          <w:rFonts w:ascii="Times New Roman" w:hAnsi="Times New Roman"/>
        </w:rPr>
        <w:t>3.4.1 投标人在递交投标文件的同时，应按投标人须知前附表规定的金额</w:t>
      </w:r>
      <w:bookmarkStart w:id="148" w:name="_Toc352691489"/>
      <w:bookmarkStart w:id="149" w:name="_Toc369531532"/>
      <w:bookmarkStart w:id="150" w:name="_Toc361508601"/>
      <w:bookmarkStart w:id="151" w:name="_Toc144974513"/>
      <w:bookmarkStart w:id="152" w:name="_Toc384308226"/>
      <w:bookmarkStart w:id="153" w:name="_Toc300834966"/>
      <w:bookmarkStart w:id="154" w:name="_Toc247527570"/>
      <w:bookmarkStart w:id="155" w:name="_Toc152045545"/>
      <w:bookmarkStart w:id="156" w:name="_Toc4592"/>
      <w:bookmarkStart w:id="157" w:name="_Toc247513969"/>
      <w:bookmarkStart w:id="158" w:name="_Toc152042321"/>
      <w:r>
        <w:rPr>
          <w:rFonts w:ascii="Times New Roman" w:hAnsi="Times New Roman"/>
        </w:rPr>
        <w:t>、形式和第六章“投标文</w:t>
      </w:r>
      <w:bookmarkEnd w:id="148"/>
      <w:bookmarkEnd w:id="149"/>
      <w:bookmarkEnd w:id="150"/>
      <w:bookmarkEnd w:id="151"/>
      <w:bookmarkEnd w:id="152"/>
      <w:bookmarkEnd w:id="153"/>
      <w:bookmarkEnd w:id="154"/>
      <w:bookmarkEnd w:id="155"/>
      <w:bookmarkEnd w:id="156"/>
      <w:bookmarkEnd w:id="157"/>
      <w:bookmarkEnd w:id="158"/>
      <w:r>
        <w:rPr>
          <w:rFonts w:ascii="Times New Roman" w:hAnsi="Times New Roman"/>
        </w:rPr>
        <w:t>件格式”规定的投标保证金格式递交投标保证金，并作为其投标文件的组成部分。联合体投标的，其投标保证金可以由牵头人递交，并应符合投标人须知前附表的规定。</w:t>
      </w:r>
    </w:p>
    <w:p>
      <w:pPr>
        <w:spacing w:line="400" w:lineRule="exact"/>
        <w:ind w:firstLine="420" w:firstLineChars="200"/>
        <w:jc w:val="left"/>
        <w:rPr>
          <w:rFonts w:ascii="Times New Roman" w:hAnsi="Times New Roman"/>
        </w:rPr>
      </w:pPr>
      <w:r>
        <w:rPr>
          <w:rFonts w:ascii="Times New Roman" w:hAnsi="Times New Roman"/>
        </w:rPr>
        <w:t>3.4.2 投标人不按本章第3.4.1项</w:t>
      </w:r>
      <w:bookmarkStart w:id="159" w:name="_Toc384308227"/>
      <w:bookmarkStart w:id="160" w:name="_Toc352691490"/>
      <w:bookmarkStart w:id="161" w:name="_Toc361508602"/>
      <w:bookmarkStart w:id="162" w:name="_Toc369531533"/>
      <w:bookmarkStart w:id="163" w:name="_Toc29025"/>
      <w:r>
        <w:rPr>
          <w:rFonts w:ascii="Times New Roman" w:hAnsi="Times New Roman"/>
        </w:rPr>
        <w:t>要求提交投标保证金的，</w:t>
      </w:r>
      <w:bookmarkEnd w:id="159"/>
      <w:bookmarkEnd w:id="160"/>
      <w:bookmarkEnd w:id="161"/>
      <w:bookmarkEnd w:id="162"/>
      <w:bookmarkEnd w:id="163"/>
      <w:r>
        <w:rPr>
          <w:rFonts w:ascii="Times New Roman" w:hAnsi="Times New Roman"/>
        </w:rPr>
        <w:t>评标委员会将否决其投标。</w:t>
      </w:r>
    </w:p>
    <w:p>
      <w:pPr>
        <w:spacing w:line="400" w:lineRule="exact"/>
        <w:ind w:firstLine="420" w:firstLineChars="200"/>
        <w:rPr>
          <w:rFonts w:ascii="Times New Roman" w:hAnsi="Times New Roman"/>
        </w:rPr>
      </w:pPr>
      <w:r>
        <w:rPr>
          <w:rFonts w:ascii="Times New Roman" w:hAnsi="Times New Roman"/>
        </w:rPr>
        <w:t>3.4.3 招标人最迟将在与中标人</w:t>
      </w:r>
      <w:bookmarkStart w:id="164" w:name="_Toc152045546"/>
      <w:bookmarkStart w:id="165" w:name="_Toc384308228"/>
      <w:bookmarkStart w:id="166" w:name="_Toc369531534"/>
      <w:bookmarkStart w:id="167" w:name="_Toc152042322"/>
      <w:bookmarkStart w:id="168" w:name="_Toc247513970"/>
      <w:bookmarkStart w:id="169" w:name="_Toc300834967"/>
      <w:bookmarkStart w:id="170" w:name="_Toc247527571"/>
      <w:bookmarkStart w:id="171" w:name="_Toc361508603"/>
      <w:bookmarkStart w:id="172" w:name="_Toc352691491"/>
      <w:bookmarkStart w:id="173" w:name="_Toc14751"/>
      <w:bookmarkStart w:id="174" w:name="_Toc144974514"/>
      <w:r>
        <w:rPr>
          <w:rFonts w:ascii="Times New Roman" w:hAnsi="Times New Roman"/>
        </w:rPr>
        <w:t>签订合同后5日</w:t>
      </w:r>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rPr>
        <w:t>内</w:t>
      </w:r>
      <w:bookmarkStart w:id="175" w:name="_Toc152045547"/>
      <w:bookmarkStart w:id="176" w:name="_Toc384308229"/>
      <w:bookmarkStart w:id="177" w:name="_Toc144974515"/>
      <w:bookmarkStart w:id="178" w:name="_Toc300834968"/>
      <w:bookmarkStart w:id="179" w:name="_Toc247513971"/>
      <w:bookmarkStart w:id="180" w:name="_Toc369531535"/>
      <w:bookmarkStart w:id="181" w:name="_Toc152042323"/>
      <w:bookmarkStart w:id="182" w:name="_Toc361508604"/>
      <w:bookmarkStart w:id="183" w:name="_Toc17952"/>
      <w:bookmarkStart w:id="184" w:name="_Toc352691492"/>
      <w:bookmarkStart w:id="185" w:name="_Toc247527572"/>
      <w:r>
        <w:rPr>
          <w:rFonts w:ascii="Times New Roman" w:hAnsi="Times New Roman"/>
        </w:rPr>
        <w:t>，向未中标的投标人和中</w:t>
      </w:r>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rPr>
        <w:t>标人退还投标保证金。</w:t>
      </w:r>
    </w:p>
    <w:p>
      <w:pPr>
        <w:spacing w:line="400" w:lineRule="exact"/>
        <w:ind w:firstLine="420" w:firstLineChars="200"/>
        <w:rPr>
          <w:rFonts w:ascii="Times New Roman" w:hAnsi="Times New Roman"/>
        </w:rPr>
      </w:pPr>
      <w:r>
        <w:rPr>
          <w:rFonts w:ascii="Times New Roman" w:hAnsi="Times New Roman"/>
        </w:rPr>
        <w:t>3.4.4 有下列情形之一的，投标保证金将不予退还：</w:t>
      </w:r>
    </w:p>
    <w:p>
      <w:pPr>
        <w:spacing w:line="400" w:lineRule="exact"/>
        <w:ind w:firstLine="315" w:firstLineChars="150"/>
        <w:rPr>
          <w:rFonts w:ascii="Times New Roman" w:hAnsi="Times New Roman"/>
        </w:rPr>
      </w:pPr>
      <w:r>
        <w:rPr>
          <w:rFonts w:ascii="Times New Roman" w:hAnsi="Times New Roman"/>
        </w:rPr>
        <w:t>（1）投标人在投标有效期内撤销投标文件；</w:t>
      </w:r>
    </w:p>
    <w:p>
      <w:pPr>
        <w:spacing w:line="400" w:lineRule="exact"/>
        <w:ind w:firstLine="315" w:firstLineChars="150"/>
        <w:rPr>
          <w:rFonts w:ascii="Times New Roman" w:hAnsi="Times New Roman"/>
        </w:rPr>
      </w:pPr>
      <w:r>
        <w:rPr>
          <w:rFonts w:ascii="Times New Roman" w:hAnsi="Times New Roman"/>
        </w:rPr>
        <w:t>（2）中标人在收到中标通知书后，无正当理由不与招标人订立合同，在签订合同时向招标人提出附加条件，或者不按照招标文件要求提交履约保证金；</w:t>
      </w:r>
    </w:p>
    <w:p>
      <w:pPr>
        <w:spacing w:line="400" w:lineRule="exact"/>
        <w:ind w:firstLine="315" w:firstLineChars="150"/>
        <w:rPr>
          <w:rFonts w:ascii="Times New Roman" w:hAnsi="Times New Roman"/>
        </w:rPr>
      </w:pPr>
      <w:r>
        <w:rPr>
          <w:rFonts w:hint="eastAsia" w:ascii="Times New Roman" w:hAnsi="Times New Roman"/>
        </w:rPr>
        <w:t>（3）未按招标文件规定缴纳中标服务费；</w:t>
      </w:r>
    </w:p>
    <w:p>
      <w:pPr>
        <w:spacing w:line="400" w:lineRule="exact"/>
        <w:ind w:firstLine="315" w:firstLineChars="150"/>
        <w:rPr>
          <w:rFonts w:ascii="Times New Roman" w:hAnsi="Times New Roman"/>
        </w:rPr>
      </w:pPr>
      <w:r>
        <w:rPr>
          <w:rFonts w:hint="eastAsia" w:ascii="Times New Roman" w:hAnsi="Times New Roman"/>
        </w:rPr>
        <w:t>（4）将中标项目转让给他人，或者在投标文件中未说明，且未经招标人同意，违反招标文件规定，将中标项目分包给他人的。</w:t>
      </w:r>
    </w:p>
    <w:p>
      <w:pPr>
        <w:pStyle w:val="8"/>
        <w:spacing w:line="240" w:lineRule="auto"/>
        <w:ind w:firstLine="137"/>
        <w:rPr>
          <w:rFonts w:ascii="Times New Roman" w:hAnsi="Times New Roman"/>
        </w:rPr>
      </w:pPr>
      <w:bookmarkStart w:id="186" w:name="_Toc56856868"/>
      <w:r>
        <w:rPr>
          <w:rFonts w:ascii="Times New Roman" w:hAnsi="Times New Roman"/>
        </w:rPr>
        <w:t xml:space="preserve">3.5 </w:t>
      </w:r>
      <w:r>
        <w:rPr>
          <w:rFonts w:hint="eastAsia" w:ascii="Times New Roman" w:hAnsi="Times New Roman"/>
        </w:rPr>
        <w:t>资格审查资料</w:t>
      </w:r>
      <w:bookmarkEnd w:id="186"/>
    </w:p>
    <w:p>
      <w:pPr>
        <w:spacing w:line="400" w:lineRule="exact"/>
        <w:ind w:firstLine="420" w:firstLineChars="200"/>
        <w:rPr>
          <w:rFonts w:ascii="Times New Roman" w:hAnsi="Times New Roman"/>
        </w:rPr>
      </w:pPr>
      <w:r>
        <w:rPr>
          <w:rFonts w:ascii="Times New Roman" w:hAnsi="Times New Roman"/>
        </w:rPr>
        <w:t>投标人应按</w:t>
      </w:r>
      <w:r>
        <w:rPr>
          <w:rFonts w:hint="eastAsia" w:ascii="Times New Roman" w:hAnsi="Times New Roman"/>
        </w:rPr>
        <w:t>招标文件</w:t>
      </w:r>
      <w:r>
        <w:rPr>
          <w:rFonts w:ascii="Times New Roman" w:hAnsi="Times New Roman"/>
        </w:rPr>
        <w:t>要求</w:t>
      </w:r>
      <w:r>
        <w:rPr>
          <w:rFonts w:hint="eastAsia" w:ascii="Times New Roman" w:hAnsi="Times New Roman"/>
        </w:rPr>
        <w:t>提交</w:t>
      </w:r>
      <w:r>
        <w:rPr>
          <w:rFonts w:ascii="Times New Roman" w:hAnsi="Times New Roman"/>
        </w:rPr>
        <w:t>相应</w:t>
      </w:r>
      <w:r>
        <w:rPr>
          <w:rFonts w:hint="eastAsia" w:ascii="Times New Roman" w:hAnsi="Times New Roman"/>
        </w:rPr>
        <w:t>证明</w:t>
      </w:r>
      <w:r>
        <w:rPr>
          <w:rFonts w:ascii="Times New Roman" w:hAnsi="Times New Roman"/>
        </w:rPr>
        <w:t>资料，以证明其满足本章第1.4款规定的</w:t>
      </w:r>
      <w:r>
        <w:rPr>
          <w:rFonts w:hint="eastAsia" w:ascii="Times New Roman" w:hAnsi="Times New Roman"/>
        </w:rPr>
        <w:t>资格要求</w:t>
      </w:r>
      <w:r>
        <w:rPr>
          <w:rFonts w:ascii="Times New Roman" w:hAnsi="Times New Roman"/>
        </w:rPr>
        <w:t>。</w:t>
      </w:r>
    </w:p>
    <w:p>
      <w:pPr>
        <w:pStyle w:val="8"/>
        <w:spacing w:line="240" w:lineRule="auto"/>
        <w:ind w:firstLine="137"/>
        <w:rPr>
          <w:rFonts w:ascii="Times New Roman" w:hAnsi="Times New Roman"/>
        </w:rPr>
      </w:pPr>
      <w:bookmarkStart w:id="187" w:name="_Toc56856869"/>
      <w:r>
        <w:rPr>
          <w:rFonts w:ascii="Times New Roman" w:hAnsi="Times New Roman"/>
        </w:rPr>
        <w:t xml:space="preserve">3.6 </w:t>
      </w:r>
      <w:r>
        <w:rPr>
          <w:rFonts w:hint="eastAsia" w:ascii="Times New Roman" w:hAnsi="Times New Roman"/>
        </w:rPr>
        <w:t>备选投标方案</w:t>
      </w:r>
      <w:bookmarkEnd w:id="187"/>
    </w:p>
    <w:p>
      <w:pPr>
        <w:spacing w:line="4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4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88" w:name="_Toc152042326"/>
      <w:bookmarkStart w:id="189" w:name="_Toc384308232"/>
      <w:bookmarkStart w:id="190" w:name="_Toc29902"/>
      <w:bookmarkStart w:id="191" w:name="_Toc361508607"/>
      <w:bookmarkStart w:id="192" w:name="_Toc369531538"/>
      <w:bookmarkStart w:id="193" w:name="_Toc300834971"/>
      <w:bookmarkStart w:id="194" w:name="_Toc247527575"/>
      <w:bookmarkStart w:id="195" w:name="_Toc152045550"/>
      <w:bookmarkStart w:id="196" w:name="_Toc247513974"/>
      <w:bookmarkStart w:id="197" w:name="_Toc144974518"/>
      <w:bookmarkStart w:id="198" w:name="_Toc352691495"/>
      <w:r>
        <w:rPr>
          <w:rFonts w:hint="eastAsia" w:ascii="Times New Roman" w:hAnsi="Times New Roman"/>
        </w:rPr>
        <w:t>投标方案</w:t>
      </w:r>
      <w:r>
        <w:rPr>
          <w:rFonts w:ascii="Times New Roman" w:hAnsi="Times New Roman"/>
        </w:rPr>
        <w:t>的</w:t>
      </w:r>
      <w:bookmarkEnd w:id="188"/>
      <w:bookmarkEnd w:id="189"/>
      <w:bookmarkEnd w:id="190"/>
      <w:bookmarkEnd w:id="191"/>
      <w:bookmarkEnd w:id="192"/>
      <w:bookmarkEnd w:id="193"/>
      <w:bookmarkEnd w:id="194"/>
      <w:bookmarkEnd w:id="195"/>
      <w:bookmarkEnd w:id="196"/>
      <w:bookmarkEnd w:id="197"/>
      <w:bookmarkEnd w:id="198"/>
      <w:r>
        <w:rPr>
          <w:rFonts w:ascii="Times New Roman" w:hAnsi="Times New Roman"/>
        </w:rPr>
        <w:t>，视为提供备选方案。</w:t>
      </w:r>
    </w:p>
    <w:p>
      <w:pPr>
        <w:pStyle w:val="8"/>
        <w:spacing w:line="240" w:lineRule="auto"/>
        <w:ind w:firstLine="137"/>
        <w:rPr>
          <w:rFonts w:ascii="Times New Roman" w:hAnsi="Times New Roman"/>
        </w:rPr>
      </w:pPr>
      <w:bookmarkStart w:id="199" w:name="_Toc56856870"/>
      <w:r>
        <w:rPr>
          <w:rFonts w:ascii="Times New Roman" w:hAnsi="Times New Roman"/>
        </w:rPr>
        <w:t xml:space="preserve">3.7 </w:t>
      </w:r>
      <w:r>
        <w:rPr>
          <w:rFonts w:hint="eastAsia" w:ascii="Times New Roman" w:hAnsi="Times New Roman"/>
        </w:rPr>
        <w:t>投标文件的编制</w:t>
      </w:r>
      <w:bookmarkEnd w:id="199"/>
    </w:p>
    <w:p>
      <w:pPr>
        <w:spacing w:line="400" w:lineRule="exact"/>
        <w:ind w:firstLine="420" w:firstLineChars="200"/>
        <w:rPr>
          <w:rFonts w:ascii="Times New Roman" w:hAnsi="Times New Roman"/>
        </w:rPr>
      </w:pPr>
      <w:r>
        <w:rPr>
          <w:rFonts w:ascii="Times New Roman" w:hAnsi="Times New Roman"/>
        </w:rPr>
        <w:t>3.7</w:t>
      </w:r>
      <w:r>
        <w:rPr>
          <w:rFonts w:hint="eastAsia" w:ascii="Times New Roman" w:hAnsi="Times New Roman"/>
        </w:rPr>
        <w:t>.1 投标文件的装订不得使用活页夹，应采用左侧无线胶装简装。</w:t>
      </w:r>
    </w:p>
    <w:p>
      <w:pPr>
        <w:spacing w:line="400" w:lineRule="exact"/>
        <w:ind w:firstLine="420" w:firstLineChars="200"/>
        <w:rPr>
          <w:rFonts w:ascii="Times New Roman" w:hAnsi="Times New Roman"/>
        </w:rPr>
      </w:pPr>
      <w:r>
        <w:rPr>
          <w:rFonts w:ascii="Times New Roman" w:hAnsi="Times New Roman"/>
        </w:rPr>
        <w:t>3.7.</w:t>
      </w:r>
      <w:r>
        <w:rPr>
          <w:rFonts w:hint="eastAsia" w:ascii="Times New Roman" w:hAnsi="Times New Roman"/>
        </w:rPr>
        <w:t>2 投标人应按前附表的要求和本条的规定提交投标文件。投标文件一式五份，其中一份为正本，四本为副本，封面上应分别标明“正本”和“副本”字样。</w:t>
      </w:r>
    </w:p>
    <w:p>
      <w:pPr>
        <w:spacing w:line="400" w:lineRule="exact"/>
        <w:ind w:firstLine="420" w:firstLineChars="200"/>
        <w:rPr>
          <w:rFonts w:ascii="Times New Roman" w:hAnsi="Times New Roman"/>
        </w:rPr>
      </w:pPr>
      <w:r>
        <w:rPr>
          <w:rFonts w:ascii="Times New Roman" w:hAnsi="Times New Roman"/>
        </w:rPr>
        <w:t>3.7</w:t>
      </w:r>
      <w:r>
        <w:rPr>
          <w:rFonts w:hint="eastAsia" w:ascii="Times New Roman" w:hAnsi="Times New Roman"/>
        </w:rPr>
        <w:t>.3投标文件正本与副本均应由投标人法定代表人（或负责人）或其授权代表签署并加盖公章，正本与副本不一致时，以正本为准。</w:t>
      </w:r>
    </w:p>
    <w:p>
      <w:pPr>
        <w:spacing w:line="400" w:lineRule="exact"/>
        <w:ind w:firstLine="420" w:firstLineChars="200"/>
        <w:rPr>
          <w:rFonts w:ascii="Times New Roman" w:hAnsi="Times New Roman"/>
        </w:rPr>
      </w:pPr>
      <w:r>
        <w:rPr>
          <w:rFonts w:ascii="Times New Roman" w:hAnsi="Times New Roman"/>
        </w:rPr>
        <w:t>3.7</w:t>
      </w:r>
      <w:r>
        <w:rPr>
          <w:rFonts w:hint="eastAsia" w:ascii="Times New Roman" w:hAnsi="Times New Roman"/>
        </w:rPr>
        <w:t>.</w:t>
      </w:r>
      <w:r>
        <w:rPr>
          <w:rFonts w:ascii="Times New Roman" w:hAnsi="Times New Roman"/>
        </w:rPr>
        <w:t>4</w:t>
      </w:r>
      <w:r>
        <w:rPr>
          <w:rFonts w:hint="eastAsia" w:ascii="Times New Roman" w:hAnsi="Times New Roman"/>
        </w:rPr>
        <w:t>投标文件应尽量避免涂改、行间插字或删除。如出现上述情况，应在修改之处应加盖单位公章并由投标人的法定代表人（或负责人）或其授权代表签字确认。</w:t>
      </w:r>
    </w:p>
    <w:p>
      <w:pPr>
        <w:spacing w:line="400" w:lineRule="exact"/>
        <w:ind w:firstLine="420" w:firstLineChars="200"/>
        <w:rPr>
          <w:rFonts w:ascii="Times New Roman" w:hAnsi="Times New Roman"/>
        </w:rPr>
      </w:pPr>
      <w:r>
        <w:rPr>
          <w:rFonts w:ascii="Times New Roman" w:hAnsi="Times New Roman"/>
        </w:rPr>
        <w:t>3</w:t>
      </w:r>
      <w:r>
        <w:rPr>
          <w:rFonts w:hint="eastAsia" w:ascii="Times New Roman" w:hAnsi="Times New Roman"/>
        </w:rPr>
        <w:t>.</w:t>
      </w:r>
      <w:r>
        <w:rPr>
          <w:rFonts w:ascii="Times New Roman" w:hAnsi="Times New Roman"/>
        </w:rPr>
        <w:t>7</w:t>
      </w:r>
      <w:r>
        <w:rPr>
          <w:rFonts w:hint="eastAsia" w:ascii="Times New Roman" w:hAnsi="Times New Roman"/>
        </w:rPr>
        <w:t>.</w:t>
      </w:r>
      <w:r>
        <w:rPr>
          <w:rFonts w:ascii="Times New Roman" w:hAnsi="Times New Roman"/>
        </w:rPr>
        <w:t xml:space="preserve">5 </w:t>
      </w:r>
      <w:r>
        <w:rPr>
          <w:rFonts w:hint="eastAsia" w:ascii="Times New Roman" w:hAnsi="Times New Roman"/>
        </w:rPr>
        <w:t>若投标人未按上述规定进行密封和标记，招标人对误投或过早启封概不负责。</w:t>
      </w:r>
    </w:p>
    <w:p>
      <w:pPr>
        <w:pStyle w:val="7"/>
        <w:rPr>
          <w:rFonts w:ascii="Times New Roman" w:hAnsi="Times New Roman"/>
        </w:rPr>
      </w:pPr>
      <w:bookmarkStart w:id="200" w:name="_Toc56856871"/>
      <w:r>
        <w:rPr>
          <w:rFonts w:ascii="Times New Roman" w:hAnsi="Times New Roman"/>
        </w:rPr>
        <w:t xml:space="preserve">4. </w:t>
      </w:r>
      <w:r>
        <w:rPr>
          <w:rFonts w:hint="eastAsia" w:ascii="Times New Roman" w:hAnsi="Times New Roman"/>
        </w:rPr>
        <w:t>投标</w:t>
      </w:r>
      <w:bookmarkEnd w:id="200"/>
    </w:p>
    <w:p>
      <w:pPr>
        <w:pStyle w:val="8"/>
        <w:spacing w:line="240" w:lineRule="auto"/>
        <w:ind w:firstLine="137"/>
        <w:rPr>
          <w:rFonts w:ascii="Times New Roman" w:hAnsi="Times New Roman"/>
        </w:rPr>
      </w:pPr>
      <w:bookmarkStart w:id="201" w:name="_Toc56856872"/>
      <w:r>
        <w:rPr>
          <w:rFonts w:ascii="Times New Roman" w:hAnsi="Times New Roman"/>
        </w:rPr>
        <w:t xml:space="preserve">4.1 </w:t>
      </w:r>
      <w:r>
        <w:rPr>
          <w:rFonts w:hint="eastAsia" w:ascii="Times New Roman" w:hAnsi="Times New Roman"/>
        </w:rPr>
        <w:t>投标文件的密封和标记</w:t>
      </w:r>
      <w:bookmarkEnd w:id="201"/>
    </w:p>
    <w:p>
      <w:pPr>
        <w:spacing w:line="400" w:lineRule="exact"/>
        <w:ind w:firstLine="420" w:firstLineChars="200"/>
        <w:rPr>
          <w:rFonts w:ascii="Times New Roman" w:hAnsi="Times New Roman"/>
        </w:rPr>
      </w:pPr>
      <w:r>
        <w:rPr>
          <w:rFonts w:ascii="Times New Roman" w:hAnsi="Times New Roman"/>
        </w:rPr>
        <w:t>4.1</w:t>
      </w:r>
      <w:r>
        <w:rPr>
          <w:rFonts w:hint="eastAsia" w:ascii="Times New Roman" w:hAnsi="Times New Roman"/>
        </w:rPr>
        <w:t>.1 投标文件必须密封包装。</w:t>
      </w:r>
    </w:p>
    <w:p>
      <w:pPr>
        <w:spacing w:line="400" w:lineRule="exact"/>
        <w:ind w:firstLine="420" w:firstLineChars="200"/>
        <w:rPr>
          <w:rFonts w:ascii="Times New Roman" w:hAnsi="Times New Roman"/>
        </w:rPr>
      </w:pPr>
      <w:r>
        <w:rPr>
          <w:rFonts w:ascii="Times New Roman" w:hAnsi="Times New Roman"/>
        </w:rPr>
        <w:t>4.1</w:t>
      </w:r>
      <w:r>
        <w:rPr>
          <w:rFonts w:hint="eastAsia" w:ascii="Times New Roman" w:hAnsi="Times New Roman"/>
        </w:rPr>
        <w:t>.2 包装外层应写明招标人名称和地址、项目名称、项目编号，密封处加盖单位公章并注明“开标前不得启封”的字样， 正副本必须按照招标文件要求的格式分别密封。</w:t>
      </w:r>
    </w:p>
    <w:p>
      <w:pPr>
        <w:spacing w:line="400" w:lineRule="exact"/>
        <w:ind w:firstLine="420" w:firstLineChars="200"/>
        <w:rPr>
          <w:rFonts w:ascii="Times New Roman" w:hAnsi="Times New Roman"/>
        </w:rPr>
      </w:pPr>
      <w:r>
        <w:rPr>
          <w:rFonts w:ascii="Times New Roman" w:hAnsi="Times New Roman"/>
        </w:rPr>
        <w:t>4.1</w:t>
      </w:r>
      <w:r>
        <w:rPr>
          <w:rFonts w:hint="eastAsia" w:ascii="Times New Roman" w:hAnsi="Times New Roman"/>
        </w:rPr>
        <w:t>.3 提交投标文件时，招标人应当以书面方式证明所收到的投标文件的送达时间和密封及标记完好，不满足包装要求的投标文件将予以拒绝，并退还给投标人。</w:t>
      </w:r>
    </w:p>
    <w:p>
      <w:pPr>
        <w:spacing w:line="400" w:lineRule="exact"/>
        <w:ind w:firstLine="420" w:firstLineChars="200"/>
        <w:rPr>
          <w:rFonts w:ascii="Times New Roman" w:hAnsi="Times New Roman"/>
        </w:rPr>
      </w:pPr>
      <w:r>
        <w:rPr>
          <w:rFonts w:ascii="Times New Roman" w:hAnsi="Times New Roman"/>
        </w:rPr>
        <w:t>4.1</w:t>
      </w:r>
      <w:r>
        <w:rPr>
          <w:rFonts w:hint="eastAsia" w:ascii="Times New Roman" w:hAnsi="Times New Roman"/>
        </w:rPr>
        <w:t>.4 投标文件递交至投标须知《前附表》所述的单位和地址。</w:t>
      </w:r>
    </w:p>
    <w:p>
      <w:pPr>
        <w:spacing w:line="400" w:lineRule="exact"/>
        <w:ind w:firstLine="420" w:firstLineChars="200"/>
        <w:jc w:val="left"/>
        <w:rPr>
          <w:rFonts w:ascii="Times New Roman" w:hAnsi="Times New Roman"/>
        </w:rPr>
      </w:pPr>
    </w:p>
    <w:p>
      <w:pPr>
        <w:pStyle w:val="7"/>
        <w:rPr>
          <w:rFonts w:ascii="Times New Roman" w:hAnsi="Times New Roman"/>
        </w:rPr>
      </w:pPr>
      <w:bookmarkStart w:id="202" w:name="_Toc56856875"/>
      <w:r>
        <w:rPr>
          <w:rFonts w:ascii="Times New Roman" w:hAnsi="Times New Roman"/>
        </w:rPr>
        <w:t xml:space="preserve">5. </w:t>
      </w:r>
      <w:r>
        <w:rPr>
          <w:rFonts w:hint="eastAsia" w:ascii="Times New Roman" w:hAnsi="Times New Roman"/>
        </w:rPr>
        <w:t>开标</w:t>
      </w:r>
      <w:bookmarkEnd w:id="202"/>
    </w:p>
    <w:p>
      <w:pPr>
        <w:pStyle w:val="8"/>
        <w:spacing w:line="240" w:lineRule="auto"/>
        <w:ind w:firstLine="137"/>
        <w:rPr>
          <w:rFonts w:ascii="Times New Roman" w:hAnsi="Times New Roman"/>
        </w:rPr>
      </w:pPr>
      <w:bookmarkStart w:id="203" w:name="_Toc56856876"/>
      <w:bookmarkStart w:id="204" w:name="_Toc50554672"/>
      <w:r>
        <w:rPr>
          <w:rFonts w:ascii="Times New Roman" w:hAnsi="Times New Roman"/>
        </w:rPr>
        <w:t>5.1 开标时间和地点</w:t>
      </w:r>
      <w:bookmarkEnd w:id="203"/>
      <w:bookmarkEnd w:id="204"/>
    </w:p>
    <w:p>
      <w:pPr>
        <w:spacing w:line="400" w:lineRule="exact"/>
        <w:ind w:firstLine="420" w:firstLineChars="200"/>
        <w:rPr>
          <w:rFonts w:ascii="Times New Roman" w:hAnsi="Times New Roman"/>
        </w:rPr>
      </w:pPr>
      <w:r>
        <w:rPr>
          <w:rFonts w:ascii="Times New Roman" w:hAnsi="Times New Roman"/>
        </w:rPr>
        <w:t>招标人在本章第4.1.4项规定的投标截止时间（开标时间）公开开标，</w:t>
      </w:r>
      <w:r>
        <w:rPr>
          <w:rFonts w:hint="eastAsia" w:ascii="Times New Roman" w:hAnsi="Times New Roman"/>
        </w:rPr>
        <w:t>所有投标人的法定代表人（单位负责人）或其委托代理人自行决定是否参加开标会议，未参加开标会议的投标人视为默认开标结果。</w:t>
      </w:r>
    </w:p>
    <w:p>
      <w:pPr>
        <w:pStyle w:val="8"/>
        <w:spacing w:line="240" w:lineRule="auto"/>
        <w:ind w:firstLine="137"/>
        <w:rPr>
          <w:rFonts w:ascii="Times New Roman" w:hAnsi="Times New Roman"/>
        </w:rPr>
      </w:pPr>
      <w:bookmarkStart w:id="205" w:name="_Toc56856877"/>
      <w:r>
        <w:rPr>
          <w:rFonts w:ascii="Times New Roman" w:hAnsi="Times New Roman"/>
        </w:rPr>
        <w:t xml:space="preserve">5.2 </w:t>
      </w:r>
      <w:r>
        <w:rPr>
          <w:rFonts w:hint="eastAsia" w:ascii="Times New Roman" w:hAnsi="Times New Roman"/>
        </w:rPr>
        <w:t>开标程序</w:t>
      </w:r>
      <w:bookmarkEnd w:id="205"/>
    </w:p>
    <w:p>
      <w:pPr>
        <w:spacing w:line="400" w:lineRule="exact"/>
        <w:ind w:firstLine="420" w:firstLineChars="200"/>
        <w:rPr>
          <w:rFonts w:ascii="Times New Roman" w:hAnsi="Times New Roman"/>
        </w:rPr>
      </w:pPr>
      <w:r>
        <w:rPr>
          <w:rFonts w:ascii="Times New Roman" w:hAnsi="Times New Roman"/>
        </w:rPr>
        <w:t>主持人按下列程序进行开标：</w:t>
      </w:r>
    </w:p>
    <w:p>
      <w:pPr>
        <w:spacing w:line="400" w:lineRule="exact"/>
        <w:ind w:firstLine="420" w:firstLineChars="200"/>
        <w:rPr>
          <w:rFonts w:ascii="Times New Roman" w:hAnsi="Times New Roman"/>
        </w:rPr>
      </w:pPr>
      <w:r>
        <w:rPr>
          <w:rFonts w:ascii="Times New Roman" w:hAnsi="Times New Roman"/>
        </w:rPr>
        <w:t>（1）宣布开标纪律；</w:t>
      </w:r>
    </w:p>
    <w:p>
      <w:pPr>
        <w:spacing w:line="400" w:lineRule="exact"/>
        <w:ind w:firstLine="420" w:firstLineChars="200"/>
        <w:rPr>
          <w:rFonts w:ascii="Times New Roman" w:hAnsi="Times New Roman"/>
        </w:rPr>
      </w:pPr>
      <w:r>
        <w:rPr>
          <w:rFonts w:ascii="Times New Roman" w:hAnsi="Times New Roman"/>
        </w:rPr>
        <w:t>（2）公布在投标截止时间前递交投标文件的投标人名称；</w:t>
      </w:r>
    </w:p>
    <w:p>
      <w:pPr>
        <w:spacing w:line="400" w:lineRule="exact"/>
        <w:ind w:firstLine="420" w:firstLineChars="200"/>
        <w:rPr>
          <w:rFonts w:ascii="Times New Roman" w:hAnsi="Times New Roman"/>
        </w:rPr>
      </w:pPr>
      <w:r>
        <w:rPr>
          <w:rFonts w:ascii="Times New Roman" w:hAnsi="Times New Roman"/>
        </w:rPr>
        <w:t>（3）宣布</w:t>
      </w:r>
      <w:bookmarkStart w:id="206" w:name="_Toc247527579"/>
      <w:bookmarkStart w:id="207" w:name="_Toc247513978"/>
      <w:bookmarkStart w:id="208" w:name="_Toc384308236"/>
      <w:bookmarkStart w:id="209" w:name="_Toc152045554"/>
      <w:bookmarkStart w:id="210" w:name="_Toc369531542"/>
      <w:bookmarkStart w:id="211" w:name="_Toc144974522"/>
      <w:bookmarkStart w:id="212" w:name="_Toc22119"/>
      <w:bookmarkStart w:id="213" w:name="_Toc152042330"/>
      <w:bookmarkStart w:id="214" w:name="_Toc361508611"/>
      <w:bookmarkStart w:id="215" w:name="_Toc300834975"/>
      <w:bookmarkStart w:id="216" w:name="_Toc352691498"/>
      <w:r>
        <w:rPr>
          <w:rFonts w:ascii="Times New Roman" w:hAnsi="Times New Roman"/>
        </w:rPr>
        <w:t>开标人、唱标人、记录人</w:t>
      </w:r>
      <w:bookmarkEnd w:id="206"/>
      <w:bookmarkEnd w:id="207"/>
      <w:bookmarkEnd w:id="208"/>
      <w:bookmarkEnd w:id="209"/>
      <w:bookmarkEnd w:id="210"/>
      <w:bookmarkEnd w:id="211"/>
      <w:bookmarkEnd w:id="212"/>
      <w:bookmarkEnd w:id="213"/>
      <w:bookmarkEnd w:id="214"/>
      <w:bookmarkEnd w:id="215"/>
      <w:bookmarkEnd w:id="216"/>
      <w:r>
        <w:rPr>
          <w:rFonts w:ascii="Times New Roman" w:hAnsi="Times New Roman"/>
        </w:rPr>
        <w:t>等有关人员姓名；</w:t>
      </w:r>
    </w:p>
    <w:p>
      <w:pPr>
        <w:spacing w:line="400" w:lineRule="exact"/>
        <w:ind w:firstLine="420" w:firstLineChars="200"/>
        <w:rPr>
          <w:rFonts w:ascii="Times New Roman" w:hAnsi="Times New Roman"/>
        </w:rPr>
      </w:pPr>
      <w:r>
        <w:rPr>
          <w:rFonts w:ascii="Times New Roman" w:hAnsi="Times New Roman"/>
        </w:rPr>
        <w:t>（4）公布招标项目名称、投标人名称、投标保证金的递交情况、投标报价及其他内容，并记录在案；</w:t>
      </w:r>
    </w:p>
    <w:p>
      <w:pPr>
        <w:spacing w:line="400" w:lineRule="exact"/>
        <w:ind w:firstLine="420" w:firstLineChars="200"/>
        <w:rPr>
          <w:rFonts w:ascii="Times New Roman" w:hAnsi="Times New Roman"/>
        </w:rPr>
      </w:pPr>
      <w:r>
        <w:rPr>
          <w:rFonts w:ascii="Times New Roman" w:hAnsi="Times New Roman"/>
        </w:rPr>
        <w:t>（5）开标结束。</w:t>
      </w:r>
    </w:p>
    <w:p>
      <w:pPr>
        <w:pStyle w:val="8"/>
        <w:spacing w:line="240" w:lineRule="auto"/>
        <w:ind w:firstLine="137"/>
        <w:rPr>
          <w:rFonts w:ascii="Times New Roman" w:hAnsi="Times New Roman"/>
        </w:rPr>
      </w:pPr>
      <w:bookmarkStart w:id="217" w:name="_Toc56856878"/>
      <w:r>
        <w:rPr>
          <w:rFonts w:ascii="Times New Roman" w:hAnsi="Times New Roman"/>
        </w:rPr>
        <w:t xml:space="preserve">5.3 </w:t>
      </w:r>
      <w:r>
        <w:rPr>
          <w:rFonts w:hint="eastAsia" w:ascii="Times New Roman" w:hAnsi="Times New Roman"/>
        </w:rPr>
        <w:t>开标异议</w:t>
      </w:r>
      <w:bookmarkEnd w:id="217"/>
    </w:p>
    <w:p>
      <w:pPr>
        <w:spacing w:line="400" w:lineRule="exact"/>
        <w:ind w:firstLine="359" w:firstLineChars="171"/>
        <w:rPr>
          <w:rFonts w:ascii="Times New Roman" w:hAnsi="Times New Roman"/>
        </w:rPr>
      </w:pPr>
      <w:r>
        <w:rPr>
          <w:rFonts w:ascii="Times New Roman" w:hAnsi="Times New Roman"/>
        </w:rPr>
        <w:t>投标人对开标有异议的，应当在开标现场提出，招标人当场作出答复，并制作记录。</w:t>
      </w:r>
    </w:p>
    <w:p>
      <w:pPr>
        <w:pStyle w:val="7"/>
        <w:rPr>
          <w:rFonts w:ascii="Times New Roman" w:hAnsi="Times New Roman"/>
        </w:rPr>
      </w:pPr>
      <w:bookmarkStart w:id="218" w:name="_Toc56856879"/>
      <w:r>
        <w:rPr>
          <w:rFonts w:ascii="Times New Roman" w:hAnsi="Times New Roman"/>
        </w:rPr>
        <w:t xml:space="preserve">6. </w:t>
      </w:r>
      <w:r>
        <w:rPr>
          <w:rFonts w:hint="eastAsia" w:ascii="Times New Roman" w:hAnsi="Times New Roman"/>
        </w:rPr>
        <w:t>评标</w:t>
      </w:r>
      <w:bookmarkEnd w:id="218"/>
    </w:p>
    <w:p>
      <w:pPr>
        <w:pStyle w:val="8"/>
        <w:spacing w:line="240" w:lineRule="auto"/>
        <w:ind w:firstLine="137"/>
        <w:rPr>
          <w:rFonts w:ascii="Times New Roman" w:hAnsi="Times New Roman"/>
        </w:rPr>
      </w:pPr>
      <w:bookmarkStart w:id="219" w:name="_Toc56856880"/>
      <w:r>
        <w:rPr>
          <w:rFonts w:ascii="Times New Roman" w:hAnsi="Times New Roman"/>
        </w:rPr>
        <w:t xml:space="preserve">6.1 </w:t>
      </w:r>
      <w:r>
        <w:rPr>
          <w:rFonts w:hint="eastAsia" w:ascii="Times New Roman" w:hAnsi="Times New Roman"/>
        </w:rPr>
        <w:t>评标委员会</w:t>
      </w:r>
      <w:bookmarkEnd w:id="219"/>
    </w:p>
    <w:p>
      <w:pPr>
        <w:spacing w:line="400" w:lineRule="exact"/>
        <w:ind w:firstLine="420" w:firstLineChars="200"/>
        <w:rPr>
          <w:rFonts w:ascii="Times New Roman" w:hAnsi="Times New Roman"/>
          <w:highlight w:val="yellow"/>
        </w:rPr>
      </w:pPr>
      <w:r>
        <w:rPr>
          <w:rFonts w:ascii="Times New Roman" w:hAnsi="Times New Roman"/>
        </w:rPr>
        <w:t xml:space="preserve">6.1.1 </w:t>
      </w:r>
      <w:r>
        <w:rPr>
          <w:rFonts w:hint="eastAsia" w:ascii="Times New Roman" w:hAnsi="Times New Roman"/>
        </w:rPr>
        <w:t>本次采购的评标委员会由招标人依法组建，负责评审活动。评标委员会成员严格根据有关规定确定。评标委员会由5人组成。</w:t>
      </w:r>
    </w:p>
    <w:p>
      <w:pPr>
        <w:spacing w:line="40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400" w:lineRule="exact"/>
        <w:ind w:firstLine="718" w:firstLineChars="342"/>
        <w:rPr>
          <w:rFonts w:ascii="Times New Roman" w:hAnsi="Times New Roman"/>
        </w:rPr>
      </w:pPr>
      <w:r>
        <w:rPr>
          <w:rFonts w:ascii="Times New Roman" w:hAnsi="Times New Roman"/>
        </w:rPr>
        <w:t>（1）投标人或投标人主要负责人的近亲属；</w:t>
      </w:r>
    </w:p>
    <w:p>
      <w:pPr>
        <w:spacing w:line="400" w:lineRule="exact"/>
        <w:ind w:firstLine="718" w:firstLineChars="342"/>
        <w:rPr>
          <w:rFonts w:ascii="Times New Roman" w:hAnsi="Times New Roman"/>
        </w:rPr>
      </w:pPr>
      <w:r>
        <w:rPr>
          <w:rFonts w:ascii="Times New Roman" w:hAnsi="Times New Roman"/>
        </w:rPr>
        <w:t>（2）项目主管部门或者行政监督部门的人员；</w:t>
      </w:r>
    </w:p>
    <w:p>
      <w:pPr>
        <w:spacing w:line="400" w:lineRule="exact"/>
        <w:ind w:firstLine="718" w:firstLineChars="342"/>
        <w:rPr>
          <w:rFonts w:ascii="Times New Roman" w:hAnsi="Times New Roman"/>
        </w:rPr>
      </w:pPr>
      <w:r>
        <w:rPr>
          <w:rFonts w:ascii="Times New Roman" w:hAnsi="Times New Roman"/>
        </w:rPr>
        <w:t>（3）与投标人有经济利益关系，可能影响对投标公正评审的；</w:t>
      </w:r>
    </w:p>
    <w:p>
      <w:pPr>
        <w:spacing w:line="400" w:lineRule="exact"/>
        <w:ind w:firstLine="718" w:firstLineChars="342"/>
        <w:rPr>
          <w:rFonts w:ascii="Times New Roman" w:hAnsi="Times New Roman"/>
        </w:rPr>
      </w:pPr>
      <w:r>
        <w:rPr>
          <w:rFonts w:ascii="Times New Roman" w:hAnsi="Times New Roman"/>
        </w:rPr>
        <w:t>（4）曾因在招标、评</w:t>
      </w:r>
      <w:bookmarkStart w:id="220" w:name="_Toc361508612"/>
      <w:bookmarkStart w:id="221" w:name="_Toc369531543"/>
      <w:bookmarkStart w:id="222" w:name="_Toc6230"/>
      <w:bookmarkStart w:id="223" w:name="_Toc144974523"/>
      <w:bookmarkStart w:id="224" w:name="_Toc247513979"/>
      <w:bookmarkStart w:id="225" w:name="_Toc152045555"/>
      <w:bookmarkStart w:id="226" w:name="_Toc352691499"/>
      <w:bookmarkStart w:id="227" w:name="_Toc247527580"/>
      <w:bookmarkStart w:id="228" w:name="_Toc384308237"/>
      <w:bookmarkStart w:id="229" w:name="_Toc300834976"/>
      <w:bookmarkStart w:id="230" w:name="_Toc152042331"/>
      <w:r>
        <w:rPr>
          <w:rFonts w:ascii="Times New Roman" w:hAnsi="Times New Roman"/>
        </w:rPr>
        <w:t>标以及其他</w:t>
      </w:r>
      <w:bookmarkEnd w:id="220"/>
      <w:bookmarkEnd w:id="221"/>
      <w:bookmarkEnd w:id="222"/>
      <w:bookmarkEnd w:id="223"/>
      <w:bookmarkEnd w:id="224"/>
      <w:bookmarkEnd w:id="225"/>
      <w:bookmarkEnd w:id="226"/>
      <w:bookmarkEnd w:id="227"/>
      <w:bookmarkEnd w:id="228"/>
      <w:bookmarkEnd w:id="229"/>
      <w:bookmarkEnd w:id="230"/>
      <w:r>
        <w:rPr>
          <w:rFonts w:ascii="Times New Roman" w:hAnsi="Times New Roman"/>
        </w:rPr>
        <w:t>与</w:t>
      </w:r>
      <w:bookmarkStart w:id="231" w:name="_Toc300834977"/>
      <w:bookmarkStart w:id="232" w:name="_Toc352691500"/>
      <w:bookmarkStart w:id="233" w:name="_Toc247513980"/>
      <w:bookmarkStart w:id="234" w:name="_Toc384308238"/>
      <w:bookmarkStart w:id="235" w:name="_Toc144974524"/>
      <w:bookmarkStart w:id="236" w:name="_Toc152045556"/>
      <w:bookmarkStart w:id="237" w:name="_Toc17703"/>
      <w:bookmarkStart w:id="238" w:name="_Toc247527581"/>
      <w:bookmarkStart w:id="239" w:name="_Toc361508613"/>
      <w:bookmarkStart w:id="240" w:name="_Toc152042332"/>
      <w:bookmarkStart w:id="241" w:name="_Toc369531544"/>
      <w:r>
        <w:rPr>
          <w:rFonts w:ascii="Times New Roman" w:hAnsi="Times New Roman"/>
        </w:rPr>
        <w:t>招标投标有关活动中从事违法行</w:t>
      </w:r>
      <w:bookmarkEnd w:id="231"/>
      <w:bookmarkEnd w:id="232"/>
      <w:bookmarkEnd w:id="233"/>
      <w:bookmarkEnd w:id="234"/>
      <w:bookmarkEnd w:id="235"/>
      <w:bookmarkEnd w:id="236"/>
      <w:bookmarkEnd w:id="237"/>
      <w:bookmarkEnd w:id="238"/>
      <w:bookmarkEnd w:id="239"/>
      <w:bookmarkEnd w:id="240"/>
      <w:bookmarkEnd w:id="241"/>
      <w:r>
        <w:rPr>
          <w:rFonts w:ascii="Times New Roman" w:hAnsi="Times New Roman"/>
        </w:rPr>
        <w:t>为而受过行政处罚或刑事处罚的；</w:t>
      </w:r>
    </w:p>
    <w:p>
      <w:pPr>
        <w:spacing w:line="400" w:lineRule="exact"/>
        <w:ind w:firstLine="718" w:firstLineChars="342"/>
        <w:rPr>
          <w:rFonts w:ascii="Times New Roman" w:hAnsi="Times New Roman"/>
        </w:rPr>
      </w:pPr>
      <w:r>
        <w:rPr>
          <w:rFonts w:ascii="Times New Roman" w:hAnsi="Times New Roman"/>
        </w:rPr>
        <w:t>（5）与投标人有其他利害关系。</w:t>
      </w:r>
    </w:p>
    <w:p>
      <w:pPr>
        <w:spacing w:line="4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
        <w:spacing w:line="240" w:lineRule="auto"/>
        <w:ind w:firstLine="137"/>
        <w:rPr>
          <w:rFonts w:ascii="Times New Roman" w:hAnsi="Times New Roman"/>
        </w:rPr>
      </w:pPr>
      <w:bookmarkStart w:id="242" w:name="_Toc56856881"/>
      <w:r>
        <w:rPr>
          <w:rFonts w:ascii="Times New Roman" w:hAnsi="Times New Roman"/>
        </w:rPr>
        <w:t xml:space="preserve">6.2 </w:t>
      </w:r>
      <w:r>
        <w:rPr>
          <w:rFonts w:hint="eastAsia" w:ascii="Times New Roman" w:hAnsi="Times New Roman"/>
        </w:rPr>
        <w:t>评标原则</w:t>
      </w:r>
      <w:bookmarkEnd w:id="242"/>
    </w:p>
    <w:p>
      <w:pPr>
        <w:spacing w:line="400" w:lineRule="exact"/>
        <w:ind w:firstLine="420" w:firstLineChars="200"/>
        <w:rPr>
          <w:rFonts w:ascii="Times New Roman" w:hAnsi="Times New Roman"/>
        </w:rPr>
      </w:pPr>
      <w:r>
        <w:rPr>
          <w:rFonts w:ascii="Times New Roman" w:hAnsi="Times New Roman"/>
        </w:rPr>
        <w:t>评标活动遵循公平、公正、科学和择优的原</w:t>
      </w:r>
      <w:bookmarkStart w:id="243" w:name="_Toc352691501"/>
      <w:bookmarkStart w:id="244" w:name="_Toc300834978"/>
      <w:bookmarkStart w:id="245" w:name="_Toc384308239"/>
      <w:bookmarkStart w:id="246" w:name="_Toc152042333"/>
      <w:bookmarkStart w:id="247" w:name="_Toc247527582"/>
      <w:bookmarkStart w:id="248" w:name="_Toc361508614"/>
      <w:bookmarkStart w:id="249" w:name="_Toc18949"/>
      <w:bookmarkStart w:id="250" w:name="_Toc152045557"/>
      <w:bookmarkStart w:id="251" w:name="_Toc144974525"/>
      <w:bookmarkStart w:id="252" w:name="_Toc369531545"/>
      <w:bookmarkStart w:id="253" w:name="_Toc247513981"/>
      <w:r>
        <w:rPr>
          <w:rFonts w:ascii="Times New Roman" w:hAnsi="Times New Roman"/>
        </w:rPr>
        <w:t>则。</w:t>
      </w:r>
    </w:p>
    <w:p>
      <w:pPr>
        <w:pStyle w:val="8"/>
        <w:spacing w:line="240" w:lineRule="auto"/>
        <w:ind w:firstLine="137"/>
        <w:rPr>
          <w:rFonts w:ascii="Times New Roman" w:hAnsi="Times New Roman"/>
        </w:rPr>
      </w:pPr>
      <w:bookmarkStart w:id="254" w:name="_Toc56856882"/>
      <w:r>
        <w:rPr>
          <w:rFonts w:ascii="Times New Roman" w:hAnsi="Times New Roman"/>
        </w:rPr>
        <w:t xml:space="preserve">6.3 </w:t>
      </w:r>
      <w:r>
        <w:rPr>
          <w:rFonts w:hint="eastAsia" w:ascii="Times New Roman" w:hAnsi="Times New Roman"/>
        </w:rPr>
        <w:t>评标</w:t>
      </w:r>
      <w:bookmarkEnd w:id="254"/>
    </w:p>
    <w:p>
      <w:pPr>
        <w:spacing w:line="400" w:lineRule="exact"/>
        <w:ind w:firstLine="420" w:firstLineChars="200"/>
        <w:rPr>
          <w:rFonts w:ascii="Times New Roman" w:hAnsi="Times New Roman"/>
        </w:rPr>
      </w:pPr>
      <w:r>
        <w:rPr>
          <w:rFonts w:ascii="Times New Roman" w:hAnsi="Times New Roman"/>
        </w:rPr>
        <w:t>6</w:t>
      </w:r>
      <w:bookmarkEnd w:id="243"/>
      <w:bookmarkEnd w:id="244"/>
      <w:bookmarkEnd w:id="245"/>
      <w:bookmarkEnd w:id="246"/>
      <w:bookmarkEnd w:id="247"/>
      <w:bookmarkEnd w:id="248"/>
      <w:bookmarkEnd w:id="249"/>
      <w:bookmarkEnd w:id="250"/>
      <w:bookmarkEnd w:id="251"/>
      <w:bookmarkEnd w:id="252"/>
      <w:bookmarkEnd w:id="253"/>
      <w:r>
        <w:rPr>
          <w:rFonts w:ascii="Times New Roman" w:hAnsi="Times New Roman"/>
        </w:rPr>
        <w:t>.3.1评标委员会按照第三章“评</w:t>
      </w:r>
      <w:r>
        <w:rPr>
          <w:rFonts w:hint="eastAsia" w:ascii="Times New Roman" w:hAnsi="Times New Roman"/>
        </w:rPr>
        <w:t>定</w:t>
      </w:r>
      <w:r>
        <w:rPr>
          <w:rFonts w:ascii="Times New Roman" w:hAnsi="Times New Roman"/>
        </w:rPr>
        <w:t>标办法”规定的方法、评审因素、标准和程序对投标文件进行评审。第三章“评标办法”没有规定的方法、评审因素和标准，不作为评标依据。</w:t>
      </w:r>
    </w:p>
    <w:p>
      <w:pPr>
        <w:spacing w:line="4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w:t>
      </w:r>
    </w:p>
    <w:p>
      <w:pPr>
        <w:pStyle w:val="7"/>
        <w:rPr>
          <w:rFonts w:ascii="Times New Roman" w:hAnsi="Times New Roman"/>
        </w:rPr>
      </w:pPr>
      <w:bookmarkStart w:id="255" w:name="_Toc56856883"/>
      <w:r>
        <w:rPr>
          <w:rFonts w:ascii="Times New Roman" w:hAnsi="Times New Roman"/>
        </w:rPr>
        <w:t xml:space="preserve">7. </w:t>
      </w:r>
      <w:r>
        <w:rPr>
          <w:rFonts w:hint="eastAsia" w:ascii="Times New Roman" w:hAnsi="Times New Roman"/>
        </w:rPr>
        <w:t>合同授予</w:t>
      </w:r>
      <w:bookmarkEnd w:id="255"/>
    </w:p>
    <w:p>
      <w:pPr>
        <w:pStyle w:val="8"/>
        <w:spacing w:line="240" w:lineRule="auto"/>
        <w:ind w:firstLine="137"/>
        <w:rPr>
          <w:rFonts w:ascii="Times New Roman" w:hAnsi="Times New Roman"/>
        </w:rPr>
      </w:pPr>
      <w:bookmarkStart w:id="256" w:name="_Toc56856885"/>
      <w:r>
        <w:rPr>
          <w:rFonts w:ascii="Times New Roman" w:hAnsi="Times New Roman"/>
        </w:rPr>
        <w:t xml:space="preserve">7.1 </w:t>
      </w:r>
      <w:r>
        <w:rPr>
          <w:rFonts w:hint="eastAsia" w:ascii="Times New Roman" w:hAnsi="Times New Roman"/>
        </w:rPr>
        <w:t>中标候选人公示</w:t>
      </w:r>
    </w:p>
    <w:p>
      <w:pPr>
        <w:spacing w:line="400" w:lineRule="exact"/>
        <w:ind w:firstLine="420" w:firstLineChars="200"/>
        <w:rPr>
          <w:rFonts w:ascii="Times New Roman" w:hAnsi="Times New Roman"/>
        </w:rPr>
      </w:pPr>
      <w:r>
        <w:rPr>
          <w:rFonts w:ascii="Times New Roman" w:hAnsi="Times New Roman"/>
        </w:rPr>
        <w:t>招标人在收到评标报告之日起3日内，按照投标人须知前附表规定的公示媒介和期限公示中标候选人，公示期不得少于3天。</w:t>
      </w:r>
    </w:p>
    <w:p>
      <w:pPr>
        <w:pStyle w:val="8"/>
        <w:spacing w:line="240" w:lineRule="auto"/>
        <w:ind w:firstLine="137"/>
        <w:rPr>
          <w:rFonts w:ascii="Times New Roman" w:hAnsi="Times New Roman"/>
        </w:rPr>
      </w:pPr>
      <w:r>
        <w:rPr>
          <w:rFonts w:ascii="Times New Roman" w:hAnsi="Times New Roman"/>
        </w:rPr>
        <w:t xml:space="preserve">7.2 </w:t>
      </w:r>
      <w:r>
        <w:rPr>
          <w:rFonts w:hint="eastAsia" w:ascii="Times New Roman" w:hAnsi="Times New Roman"/>
        </w:rPr>
        <w:t>评标结果异议</w:t>
      </w:r>
    </w:p>
    <w:p>
      <w:pPr>
        <w:spacing w:line="400" w:lineRule="exact"/>
        <w:ind w:firstLine="420" w:firstLineChars="200"/>
        <w:rPr>
          <w:rFonts w:ascii="Times New Roman" w:hAnsi="Times New Roman"/>
        </w:rPr>
      </w:pPr>
      <w:r>
        <w:rPr>
          <w:rFonts w:ascii="Times New Roman" w:hAnsi="Times New Roman"/>
        </w:rPr>
        <w:t>投标人或者其他利害关系人对评标结果有异议的，应当在中标候选人公示期间提出。招标人将在收到异议之日起3日内作出答复；作出答复前，将暂停招标投标活动。</w:t>
      </w:r>
    </w:p>
    <w:bookmarkEnd w:id="256"/>
    <w:p>
      <w:pPr>
        <w:pStyle w:val="8"/>
        <w:spacing w:line="240" w:lineRule="auto"/>
        <w:ind w:firstLine="137"/>
        <w:rPr>
          <w:rFonts w:ascii="Times New Roman" w:hAnsi="Times New Roman"/>
        </w:rPr>
      </w:pPr>
      <w:bookmarkStart w:id="257" w:name="_Toc56856886"/>
      <w:r>
        <w:rPr>
          <w:rFonts w:ascii="Times New Roman" w:hAnsi="Times New Roman"/>
        </w:rPr>
        <w:t xml:space="preserve">7.3 </w:t>
      </w:r>
      <w:r>
        <w:rPr>
          <w:rFonts w:hint="eastAsia" w:ascii="Times New Roman" w:hAnsi="Times New Roman"/>
        </w:rPr>
        <w:t>中标候选人履约能力审查</w:t>
      </w:r>
      <w:bookmarkEnd w:id="257"/>
    </w:p>
    <w:p>
      <w:pPr>
        <w:spacing w:line="4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8"/>
        <w:spacing w:line="240" w:lineRule="auto"/>
        <w:ind w:firstLine="137"/>
        <w:rPr>
          <w:rFonts w:ascii="Times New Roman" w:hAnsi="Times New Roman"/>
        </w:rPr>
      </w:pPr>
      <w:bookmarkStart w:id="258" w:name="_Toc56856887"/>
      <w:r>
        <w:rPr>
          <w:rFonts w:ascii="Times New Roman" w:hAnsi="Times New Roman"/>
        </w:rPr>
        <w:t xml:space="preserve">7.4 </w:t>
      </w:r>
      <w:r>
        <w:rPr>
          <w:rFonts w:hint="eastAsia" w:ascii="Times New Roman" w:hAnsi="Times New Roman"/>
        </w:rPr>
        <w:t>定标</w:t>
      </w:r>
      <w:bookmarkEnd w:id="258"/>
    </w:p>
    <w:p>
      <w:pPr>
        <w:spacing w:line="400" w:lineRule="exact"/>
        <w:ind w:firstLine="420" w:firstLineChars="200"/>
        <w:rPr>
          <w:rFonts w:ascii="Times New Roman" w:hAnsi="Times New Roman"/>
        </w:rPr>
      </w:pPr>
      <w:r>
        <w:rPr>
          <w:rFonts w:ascii="Times New Roman" w:hAnsi="Times New Roman"/>
        </w:rPr>
        <w:t>按照投标人须知前附表的规定，招标人或招标人授权的评标委员会依法确定中标人。</w:t>
      </w:r>
    </w:p>
    <w:p>
      <w:pPr>
        <w:pStyle w:val="8"/>
        <w:spacing w:line="240" w:lineRule="auto"/>
        <w:ind w:firstLine="137"/>
        <w:rPr>
          <w:rFonts w:ascii="Times New Roman" w:hAnsi="Times New Roman"/>
        </w:rPr>
      </w:pPr>
      <w:bookmarkStart w:id="259" w:name="_Toc56856888"/>
      <w:r>
        <w:rPr>
          <w:rFonts w:ascii="Times New Roman" w:hAnsi="Times New Roman"/>
        </w:rPr>
        <w:t>7.</w:t>
      </w:r>
      <w:r>
        <w:rPr>
          <w:rFonts w:hint="eastAsia" w:ascii="Times New Roman" w:hAnsi="Times New Roman"/>
        </w:rPr>
        <w:t>5</w:t>
      </w:r>
      <w:r>
        <w:rPr>
          <w:rFonts w:ascii="Times New Roman" w:hAnsi="Times New Roman"/>
        </w:rPr>
        <w:t xml:space="preserve"> </w:t>
      </w:r>
      <w:r>
        <w:rPr>
          <w:rFonts w:hint="eastAsia" w:ascii="Times New Roman" w:hAnsi="Times New Roman"/>
        </w:rPr>
        <w:t>中标通知</w:t>
      </w:r>
      <w:bookmarkEnd w:id="259"/>
    </w:p>
    <w:p>
      <w:pPr>
        <w:spacing w:line="400" w:lineRule="exact"/>
        <w:ind w:firstLine="420" w:firstLineChars="200"/>
        <w:rPr>
          <w:rFonts w:ascii="Times New Roman" w:hAnsi="Times New Roman"/>
        </w:rPr>
      </w:pPr>
      <w:r>
        <w:rPr>
          <w:rFonts w:ascii="Times New Roman" w:hAnsi="Times New Roman"/>
        </w:rPr>
        <w:t>在本章第3.3款规定的投标有效期内，招标人以书面形式向中标人发出中标</w:t>
      </w:r>
      <w:bookmarkStart w:id="260" w:name="_Toc300834983"/>
      <w:bookmarkStart w:id="261" w:name="_Toc369531550"/>
      <w:bookmarkStart w:id="262" w:name="_Toc361508619"/>
      <w:bookmarkStart w:id="263" w:name="_Toc352691506"/>
      <w:bookmarkStart w:id="264" w:name="_Toc384308244"/>
      <w:bookmarkStart w:id="265" w:name="_Toc5668"/>
      <w:r>
        <w:rPr>
          <w:rFonts w:ascii="Times New Roman" w:hAnsi="Times New Roman"/>
        </w:rPr>
        <w:t>通知书</w:t>
      </w:r>
      <w:bookmarkEnd w:id="260"/>
      <w:bookmarkEnd w:id="261"/>
      <w:bookmarkEnd w:id="262"/>
      <w:bookmarkEnd w:id="263"/>
      <w:bookmarkEnd w:id="264"/>
      <w:bookmarkEnd w:id="265"/>
      <w:r>
        <w:rPr>
          <w:rFonts w:ascii="Times New Roman" w:hAnsi="Times New Roman"/>
        </w:rPr>
        <w:t>，同时将中标结果通知未中标的投标人。</w:t>
      </w:r>
    </w:p>
    <w:p>
      <w:pPr>
        <w:pStyle w:val="8"/>
        <w:spacing w:line="240" w:lineRule="auto"/>
        <w:ind w:firstLine="137"/>
        <w:rPr>
          <w:rFonts w:ascii="Times New Roman" w:hAnsi="Times New Roman"/>
        </w:rPr>
      </w:pPr>
      <w:bookmarkStart w:id="266" w:name="_Toc56856890"/>
      <w:r>
        <w:rPr>
          <w:rFonts w:ascii="Times New Roman" w:hAnsi="Times New Roman"/>
        </w:rPr>
        <w:t>7.</w:t>
      </w:r>
      <w:r>
        <w:rPr>
          <w:rFonts w:hint="eastAsia" w:ascii="Times New Roman" w:hAnsi="Times New Roman"/>
        </w:rPr>
        <w:t>6履约保证金</w:t>
      </w:r>
      <w:bookmarkEnd w:id="266"/>
    </w:p>
    <w:p>
      <w:pPr>
        <w:spacing w:line="400" w:lineRule="exact"/>
        <w:ind w:firstLine="420" w:firstLineChars="200"/>
        <w:rPr>
          <w:rFonts w:ascii="Times New Roman" w:hAnsi="Times New Roman"/>
        </w:rPr>
      </w:pPr>
      <w:r>
        <w:rPr>
          <w:rFonts w:ascii="Times New Roman" w:hAnsi="Times New Roman"/>
        </w:rPr>
        <w:t>7.</w:t>
      </w:r>
      <w:r>
        <w:rPr>
          <w:rFonts w:hint="eastAsia" w:ascii="Times New Roman" w:hAnsi="Times New Roman"/>
        </w:rPr>
        <w:t>6</w:t>
      </w:r>
      <w:r>
        <w:rPr>
          <w:rFonts w:ascii="Times New Roman" w:hAnsi="Times New Roman"/>
        </w:rPr>
        <w:t>.1 中标人应按投标人须知前附表规定的形式、金额和招标文件第四章“合同条款及格式”规定的或者事先经过招标人书面认可的履约保证金格式向招标人提交履约保证金。除投标人须知前附表另有规定外</w:t>
      </w:r>
      <w:r>
        <w:rPr>
          <w:rFonts w:ascii="Times New Roman" w:hAnsi="Times New Roman"/>
          <w:highlight w:val="none"/>
        </w:rPr>
        <w:t>，履约保证金为中标合同金额的10%。联合体</w:t>
      </w:r>
      <w:r>
        <w:rPr>
          <w:rFonts w:ascii="Times New Roman" w:hAnsi="Times New Roman"/>
        </w:rPr>
        <w:t>中标的，其履约保证金以联合体各方或者联合体中牵头人的名义提交。</w:t>
      </w:r>
    </w:p>
    <w:p>
      <w:pPr>
        <w:spacing w:line="400" w:lineRule="exact"/>
        <w:ind w:firstLine="420" w:firstLineChars="200"/>
        <w:rPr>
          <w:rFonts w:ascii="Times New Roman" w:hAnsi="Times New Roman"/>
        </w:rPr>
      </w:pPr>
      <w:r>
        <w:rPr>
          <w:rFonts w:ascii="Times New Roman" w:hAnsi="Times New Roman"/>
        </w:rPr>
        <w:t>7.</w:t>
      </w:r>
      <w:r>
        <w:rPr>
          <w:rFonts w:hint="eastAsia" w:ascii="Times New Roman" w:hAnsi="Times New Roman"/>
        </w:rPr>
        <w:t>6</w:t>
      </w:r>
      <w:r>
        <w:rPr>
          <w:rFonts w:ascii="Times New Roman" w:hAnsi="Times New Roman"/>
        </w:rPr>
        <w:t>.2 中标人不能按本章第7.</w:t>
      </w:r>
      <w:r>
        <w:rPr>
          <w:rFonts w:hint="eastAsia" w:ascii="Times New Roman" w:hAnsi="Times New Roman"/>
          <w:lang w:val="en-US" w:eastAsia="zh-CN"/>
        </w:rPr>
        <w:t>6</w:t>
      </w:r>
      <w:r>
        <w:rPr>
          <w:rFonts w:ascii="Times New Roman" w:hAnsi="Times New Roman"/>
        </w:rPr>
        <w:t>.1项要求提交履约保证金的，视为放弃中标，其投标保证金不予退还，给招标人造成的损失超过投标保证金数额的，中标人还应当对超过部分予以赔偿。</w:t>
      </w:r>
    </w:p>
    <w:p>
      <w:pPr>
        <w:pStyle w:val="8"/>
        <w:spacing w:line="240" w:lineRule="auto"/>
        <w:ind w:firstLine="137"/>
        <w:rPr>
          <w:rFonts w:ascii="Times New Roman" w:hAnsi="Times New Roman"/>
        </w:rPr>
      </w:pPr>
      <w:bookmarkStart w:id="267" w:name="_Toc56856891"/>
      <w:r>
        <w:rPr>
          <w:rFonts w:ascii="Times New Roman" w:hAnsi="Times New Roman"/>
        </w:rPr>
        <w:t>7.</w:t>
      </w:r>
      <w:r>
        <w:rPr>
          <w:rFonts w:hint="eastAsia" w:ascii="Times New Roman" w:hAnsi="Times New Roman"/>
        </w:rPr>
        <w:t>7</w:t>
      </w:r>
      <w:r>
        <w:rPr>
          <w:rFonts w:ascii="Times New Roman" w:hAnsi="Times New Roman"/>
        </w:rPr>
        <w:t xml:space="preserve"> </w:t>
      </w:r>
      <w:r>
        <w:rPr>
          <w:rFonts w:hint="eastAsia" w:ascii="Times New Roman" w:hAnsi="Times New Roman"/>
        </w:rPr>
        <w:t>签订合同</w:t>
      </w:r>
      <w:bookmarkEnd w:id="267"/>
    </w:p>
    <w:p>
      <w:pPr>
        <w:spacing w:line="400" w:lineRule="exact"/>
        <w:ind w:firstLine="420" w:firstLineChars="200"/>
        <w:rPr>
          <w:rFonts w:ascii="Times New Roman" w:hAnsi="Times New Roman"/>
        </w:rPr>
      </w:pPr>
      <w:r>
        <w:rPr>
          <w:rFonts w:ascii="Times New Roman" w:hAnsi="Times New Roman"/>
        </w:rPr>
        <w:t>7.</w:t>
      </w:r>
      <w:r>
        <w:rPr>
          <w:rFonts w:hint="eastAsia" w:ascii="Times New Roman" w:hAnsi="Times New Roman"/>
        </w:rPr>
        <w:t>7</w:t>
      </w:r>
      <w:r>
        <w:rPr>
          <w:rFonts w:ascii="Times New Roman" w:hAnsi="Times New Roman"/>
        </w:rPr>
        <w:t>.1 招标人和中标人应当在中标通知书发出之日起30日内，根据招标文件和中标人的投标文件订立书面合同。中标人</w:t>
      </w:r>
      <w:r>
        <w:t>无正当理由</w:t>
      </w:r>
      <w:r>
        <w:rPr>
          <w:rFonts w:hint="eastAsia"/>
        </w:rPr>
        <w:t>拒签</w:t>
      </w:r>
      <w:r>
        <w:t>合同，在签订合同时向招标人提出附加条件，</w:t>
      </w:r>
      <w:r>
        <w:rPr>
          <w:rFonts w:ascii="Times New Roman" w:hAnsi="Times New Roman"/>
        </w:rPr>
        <w:t>招标人有权取消其中标资格，其投标保证金不予退还；给招标人造成的损失超过投标保证金数额的，中标人还应当对超过部分予以赔偿。</w:t>
      </w:r>
    </w:p>
    <w:p>
      <w:pPr>
        <w:spacing w:line="400" w:lineRule="exact"/>
        <w:ind w:firstLine="420" w:firstLineChars="200"/>
        <w:rPr>
          <w:rFonts w:ascii="Times New Roman" w:hAnsi="Times New Roman"/>
        </w:rPr>
      </w:pPr>
      <w:r>
        <w:rPr>
          <w:rFonts w:ascii="Times New Roman" w:hAnsi="Times New Roman"/>
        </w:rPr>
        <w:t>7.</w:t>
      </w:r>
      <w:r>
        <w:rPr>
          <w:rFonts w:hint="eastAsia" w:ascii="Times New Roman" w:hAnsi="Times New Roman"/>
        </w:rPr>
        <w:t>7</w:t>
      </w:r>
      <w:r>
        <w:rPr>
          <w:rFonts w:ascii="Times New Roman" w:hAnsi="Times New Roman"/>
        </w:rPr>
        <w:t>.2 发出中标通知书后，招标人无正当理由拒签合同，或者</w:t>
      </w:r>
      <w:r>
        <w:t>在签订合同时</w:t>
      </w:r>
      <w:r>
        <w:rPr>
          <w:rFonts w:hint="eastAsia"/>
        </w:rPr>
        <w:t>向中标人</w:t>
      </w:r>
      <w:r>
        <w:rPr>
          <w:rFonts w:ascii="Times New Roman" w:hAnsi="Times New Roman"/>
        </w:rPr>
        <w:t>提出附加条件的，招标人向中标人退还投标保证金；给中标人造成损失的，还应当赔偿损失。</w:t>
      </w:r>
    </w:p>
    <w:p>
      <w:pPr>
        <w:spacing w:line="400" w:lineRule="exact"/>
        <w:ind w:firstLine="420" w:firstLineChars="200"/>
        <w:rPr>
          <w:rFonts w:ascii="Times New Roman" w:hAnsi="Times New Roman"/>
          <w:szCs w:val="21"/>
        </w:rPr>
      </w:pPr>
      <w:r>
        <w:rPr>
          <w:rFonts w:ascii="Times New Roman" w:hAnsi="Times New Roman"/>
        </w:rPr>
        <w:t>7.</w:t>
      </w:r>
      <w:r>
        <w:rPr>
          <w:rFonts w:hint="eastAsia" w:ascii="Times New Roman" w:hAnsi="Times New Roman"/>
        </w:rPr>
        <w:t>7</w:t>
      </w:r>
      <w:r>
        <w:rPr>
          <w:rFonts w:ascii="Times New Roman" w:hAnsi="Times New Roman"/>
        </w:rPr>
        <w:t>.3</w:t>
      </w:r>
      <w:r>
        <w:rPr>
          <w:rFonts w:ascii="Times New Roman" w:hAnsi="Times New Roman"/>
          <w:szCs w:val="21"/>
        </w:rPr>
        <w:t>联合体中标的，联合体各方应当共同与招标人签订合同，就中标项目向招标人承担连带责任。</w:t>
      </w:r>
    </w:p>
    <w:p>
      <w:pPr>
        <w:pStyle w:val="7"/>
        <w:rPr>
          <w:rFonts w:ascii="Times New Roman" w:hAnsi="Times New Roman"/>
        </w:rPr>
      </w:pPr>
      <w:bookmarkStart w:id="268" w:name="_Toc361508627"/>
      <w:bookmarkStart w:id="269" w:name="_Toc384308252"/>
      <w:bookmarkStart w:id="270" w:name="_Toc24067"/>
      <w:bookmarkStart w:id="271" w:name="_Toc56856892"/>
      <w:bookmarkStart w:id="272" w:name="_Toc152042344"/>
      <w:bookmarkStart w:id="273" w:name="_Toc152045568"/>
      <w:bookmarkStart w:id="274" w:name="_Toc247527593"/>
      <w:bookmarkStart w:id="275" w:name="_Toc247513992"/>
      <w:bookmarkStart w:id="276" w:name="_Toc300834991"/>
      <w:bookmarkStart w:id="277" w:name="_Toc144974536"/>
      <w:r>
        <w:rPr>
          <w:rFonts w:ascii="Times New Roman" w:hAnsi="Times New Roman"/>
        </w:rPr>
        <w:t>8.</w:t>
      </w:r>
      <w:bookmarkEnd w:id="268"/>
      <w:bookmarkEnd w:id="269"/>
      <w:bookmarkEnd w:id="270"/>
      <w:r>
        <w:rPr>
          <w:rFonts w:hint="eastAsia" w:ascii="Times New Roman" w:hAnsi="Times New Roman"/>
        </w:rPr>
        <w:t>纪律和监督</w:t>
      </w:r>
      <w:bookmarkEnd w:id="271"/>
    </w:p>
    <w:p>
      <w:pPr>
        <w:pStyle w:val="8"/>
        <w:spacing w:line="240" w:lineRule="auto"/>
        <w:ind w:firstLine="137"/>
        <w:rPr>
          <w:rFonts w:ascii="Times New Roman" w:hAnsi="Times New Roman"/>
        </w:rPr>
      </w:pPr>
      <w:bookmarkStart w:id="278" w:name="_Toc56856893"/>
      <w:r>
        <w:rPr>
          <w:rFonts w:ascii="Times New Roman" w:hAnsi="Times New Roman"/>
        </w:rPr>
        <w:t xml:space="preserve">8.1 </w:t>
      </w:r>
      <w:r>
        <w:rPr>
          <w:rFonts w:hint="eastAsia" w:ascii="Times New Roman" w:hAnsi="Times New Roman"/>
        </w:rPr>
        <w:t>对招标人的纪律要求</w:t>
      </w:r>
      <w:bookmarkEnd w:id="278"/>
    </w:p>
    <w:p>
      <w:pPr>
        <w:spacing w:line="4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8"/>
        <w:spacing w:line="240" w:lineRule="auto"/>
        <w:ind w:firstLine="137"/>
        <w:rPr>
          <w:rFonts w:ascii="Times New Roman" w:hAnsi="Times New Roman"/>
        </w:rPr>
      </w:pPr>
      <w:bookmarkStart w:id="279" w:name="_Toc56856894"/>
      <w:r>
        <w:rPr>
          <w:rFonts w:ascii="Times New Roman" w:hAnsi="Times New Roman"/>
        </w:rPr>
        <w:t xml:space="preserve">8.2 </w:t>
      </w:r>
      <w:r>
        <w:rPr>
          <w:rFonts w:hint="eastAsia" w:ascii="Times New Roman" w:hAnsi="Times New Roman"/>
        </w:rPr>
        <w:t>对投标人的纪律要求</w:t>
      </w:r>
      <w:bookmarkEnd w:id="279"/>
    </w:p>
    <w:p>
      <w:pPr>
        <w:spacing w:line="4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8"/>
        <w:spacing w:line="240" w:lineRule="auto"/>
        <w:ind w:firstLine="137"/>
        <w:rPr>
          <w:rFonts w:ascii="Times New Roman" w:hAnsi="Times New Roman"/>
        </w:rPr>
      </w:pPr>
      <w:bookmarkStart w:id="280" w:name="_Toc56856895"/>
      <w:r>
        <w:rPr>
          <w:rFonts w:ascii="Times New Roman" w:hAnsi="Times New Roman"/>
        </w:rPr>
        <w:t xml:space="preserve">8.3 </w:t>
      </w:r>
      <w:r>
        <w:rPr>
          <w:rFonts w:hint="eastAsia" w:ascii="Times New Roman" w:hAnsi="Times New Roman"/>
        </w:rPr>
        <w:t>对评标委员会成员的纪律要求</w:t>
      </w:r>
      <w:bookmarkEnd w:id="280"/>
    </w:p>
    <w:p>
      <w:pPr>
        <w:spacing w:line="4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281" w:name="_Toc369531559"/>
      <w:bookmarkStart w:id="282" w:name="_Toc384308253"/>
      <w:bookmarkStart w:id="283" w:name="_Toc361508628"/>
      <w:bookmarkStart w:id="284" w:name="_Toc352691515"/>
      <w:bookmarkStart w:id="285" w:name="_Toc13644"/>
      <w:r>
        <w:rPr>
          <w:rFonts w:ascii="Times New Roman" w:hAnsi="Times New Roman"/>
        </w:rPr>
        <w:t>和比较、中标候选人</w:t>
      </w:r>
      <w:bookmarkEnd w:id="272"/>
      <w:bookmarkEnd w:id="273"/>
      <w:bookmarkEnd w:id="274"/>
      <w:bookmarkEnd w:id="275"/>
      <w:bookmarkEnd w:id="276"/>
      <w:bookmarkEnd w:id="277"/>
      <w:bookmarkEnd w:id="281"/>
      <w:bookmarkEnd w:id="282"/>
      <w:bookmarkEnd w:id="283"/>
      <w:bookmarkEnd w:id="284"/>
      <w:bookmarkEnd w:id="285"/>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8"/>
        <w:spacing w:line="240" w:lineRule="auto"/>
        <w:ind w:firstLine="137"/>
        <w:rPr>
          <w:rFonts w:ascii="Times New Roman" w:hAnsi="Times New Roman"/>
        </w:rPr>
      </w:pPr>
      <w:bookmarkStart w:id="286" w:name="_Toc56856896"/>
      <w:r>
        <w:rPr>
          <w:rFonts w:ascii="Times New Roman" w:hAnsi="Times New Roman"/>
        </w:rPr>
        <w:t xml:space="preserve">8.4 </w:t>
      </w:r>
      <w:r>
        <w:rPr>
          <w:rFonts w:hint="eastAsia" w:ascii="Times New Roman" w:hAnsi="Times New Roman"/>
        </w:rPr>
        <w:t>对与评标活动有关的工作人员的纪律要求</w:t>
      </w:r>
      <w:bookmarkEnd w:id="286"/>
    </w:p>
    <w:p>
      <w:pPr>
        <w:spacing w:line="4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287" w:name="_Toc361508629"/>
      <w:bookmarkStart w:id="288" w:name="_Toc247513993"/>
      <w:bookmarkStart w:id="289" w:name="_Toc300834992"/>
      <w:bookmarkStart w:id="290" w:name="_Toc369531560"/>
      <w:bookmarkStart w:id="291" w:name="_Toc384308254"/>
      <w:bookmarkStart w:id="292" w:name="_Toc152042345"/>
      <w:bookmarkStart w:id="293" w:name="_Toc352691516"/>
      <w:bookmarkStart w:id="294" w:name="_Toc144974537"/>
      <w:bookmarkStart w:id="295" w:name="_Toc247527594"/>
      <w:bookmarkStart w:id="296" w:name="_Toc19429"/>
      <w:bookmarkStart w:id="297" w:name="_Toc152045569"/>
      <w:r>
        <w:rPr>
          <w:rFonts w:ascii="Times New Roman" w:hAnsi="Times New Roman"/>
        </w:rPr>
        <w:t>的评审和比较、中标</w:t>
      </w:r>
      <w:bookmarkEnd w:id="287"/>
      <w:bookmarkEnd w:id="288"/>
      <w:bookmarkEnd w:id="289"/>
      <w:bookmarkEnd w:id="290"/>
      <w:bookmarkEnd w:id="291"/>
      <w:bookmarkEnd w:id="292"/>
      <w:bookmarkEnd w:id="293"/>
      <w:bookmarkEnd w:id="294"/>
      <w:bookmarkEnd w:id="295"/>
      <w:bookmarkEnd w:id="296"/>
      <w:bookmarkEnd w:id="297"/>
      <w:r>
        <w:rPr>
          <w:rFonts w:ascii="Times New Roman" w:hAnsi="Times New Roman"/>
        </w:rPr>
        <w:t>候选人的推荐情况以及评标有关的其他情况。在评标活动中，与评标活动有关的工作人员不得擅离职守，影响评标程序正常进行。</w:t>
      </w:r>
    </w:p>
    <w:p>
      <w:pPr>
        <w:pStyle w:val="8"/>
        <w:spacing w:line="240" w:lineRule="auto"/>
        <w:ind w:firstLine="137"/>
        <w:rPr>
          <w:rFonts w:ascii="Times New Roman" w:hAnsi="Times New Roman"/>
        </w:rPr>
      </w:pPr>
      <w:bookmarkStart w:id="298" w:name="_Toc56856897"/>
      <w:r>
        <w:rPr>
          <w:rFonts w:ascii="Times New Roman" w:hAnsi="Times New Roman"/>
        </w:rPr>
        <w:t xml:space="preserve">8.5 </w:t>
      </w:r>
      <w:r>
        <w:rPr>
          <w:rFonts w:hint="eastAsia" w:ascii="Times New Roman" w:hAnsi="Times New Roman"/>
        </w:rPr>
        <w:t>投诉</w:t>
      </w:r>
      <w:bookmarkEnd w:id="298"/>
    </w:p>
    <w:p>
      <w:pPr>
        <w:spacing w:line="400" w:lineRule="exact"/>
        <w:ind w:firstLine="420" w:firstLineChars="200"/>
        <w:rPr>
          <w:rFonts w:ascii="Times New Roman" w:hAnsi="Times New Roman"/>
        </w:rPr>
      </w:pPr>
      <w:r>
        <w:rPr>
          <w:rFonts w:ascii="Times New Roman" w:hAnsi="Times New Roman"/>
        </w:rPr>
        <w:t>8.5.1 投标人或者其他利害关系人认为招标投标活动不符合法律、行政法规规定的，可以自知道或者应当知道之日起10日内向有关行政监督部门投诉。投诉应当有明确的请求和必要的证明材料。</w:t>
      </w:r>
    </w:p>
    <w:p>
      <w:pPr>
        <w:spacing w:line="400" w:lineRule="exact"/>
        <w:ind w:firstLine="420" w:firstLineChars="200"/>
        <w:rPr>
          <w:rFonts w:ascii="Times New Roman" w:hAnsi="Times New Roman"/>
        </w:rPr>
      </w:pPr>
      <w:r>
        <w:rPr>
          <w:rFonts w:ascii="Times New Roman" w:hAnsi="Times New Roman"/>
        </w:rPr>
        <w:t>8.5.2 投标人或者其他利害关系人对招标文件、开标和评标结果提出投诉的，应当按照投标人须知第2.4款、第5.3款和第7.2款的规定先向招标人提出异议。异议答复期间</w:t>
      </w:r>
      <w:bookmarkStart w:id="299" w:name="_Toc144974538"/>
      <w:bookmarkStart w:id="300" w:name="_Toc247513994"/>
      <w:bookmarkStart w:id="301" w:name="_Toc12776"/>
      <w:bookmarkStart w:id="302" w:name="_Toc384308255"/>
      <w:bookmarkStart w:id="303" w:name="_Toc152045570"/>
      <w:bookmarkStart w:id="304" w:name="_Toc247527595"/>
      <w:bookmarkStart w:id="305" w:name="_Toc152042346"/>
      <w:bookmarkStart w:id="306" w:name="_Toc352691517"/>
      <w:bookmarkStart w:id="307" w:name="_Toc361508630"/>
      <w:bookmarkStart w:id="308" w:name="_Toc369531561"/>
      <w:bookmarkStart w:id="309" w:name="_Toc300834993"/>
      <w:r>
        <w:rPr>
          <w:rFonts w:ascii="Times New Roman" w:hAnsi="Times New Roman"/>
        </w:rPr>
        <w:t>不计算在第8.5.</w:t>
      </w:r>
      <w:bookmarkEnd w:id="299"/>
      <w:bookmarkEnd w:id="300"/>
      <w:bookmarkEnd w:id="301"/>
      <w:bookmarkEnd w:id="302"/>
      <w:bookmarkEnd w:id="303"/>
      <w:bookmarkEnd w:id="304"/>
      <w:bookmarkEnd w:id="305"/>
      <w:bookmarkEnd w:id="306"/>
      <w:bookmarkEnd w:id="307"/>
      <w:bookmarkEnd w:id="308"/>
      <w:bookmarkEnd w:id="309"/>
      <w:r>
        <w:rPr>
          <w:rFonts w:ascii="Times New Roman" w:hAnsi="Times New Roman"/>
        </w:rPr>
        <w:t>1项规定的期限内。</w:t>
      </w:r>
    </w:p>
    <w:p>
      <w:pPr>
        <w:pStyle w:val="7"/>
        <w:spacing w:line="240" w:lineRule="auto"/>
        <w:rPr>
          <w:rFonts w:ascii="Times New Roman" w:hAnsi="Times New Roman"/>
        </w:rPr>
      </w:pPr>
      <w:bookmarkStart w:id="310" w:name="_Toc56856898"/>
      <w:bookmarkStart w:id="311" w:name="_Toc477134992"/>
      <w:r>
        <w:rPr>
          <w:rFonts w:ascii="Times New Roman" w:hAnsi="Times New Roman"/>
        </w:rPr>
        <w:t xml:space="preserve">9. </w:t>
      </w:r>
      <w:r>
        <w:rPr>
          <w:rFonts w:hint="eastAsia" w:ascii="Times New Roman" w:hAnsi="Times New Roman"/>
        </w:rPr>
        <w:t>是否采用电子招标投标</w:t>
      </w:r>
      <w:bookmarkEnd w:id="310"/>
      <w:bookmarkEnd w:id="311"/>
    </w:p>
    <w:p>
      <w:pPr>
        <w:spacing w:line="400" w:lineRule="exact"/>
        <w:ind w:firstLine="420" w:firstLineChars="200"/>
        <w:rPr>
          <w:rFonts w:ascii="Times New Roman" w:hAnsi="Times New Roman"/>
        </w:rPr>
      </w:pPr>
      <w:r>
        <w:rPr>
          <w:rFonts w:ascii="Times New Roman" w:hAnsi="Times New Roman"/>
        </w:rPr>
        <w:t>本招标项目是否采用电子招标投标方式，见投标人须知前附表。</w:t>
      </w:r>
    </w:p>
    <w:p>
      <w:pPr>
        <w:spacing w:line="400" w:lineRule="exact"/>
        <w:ind w:firstLine="420" w:firstLineChars="200"/>
        <w:rPr>
          <w:rFonts w:ascii="Times New Roman" w:hAnsi="Times New Roman"/>
        </w:rPr>
      </w:pPr>
    </w:p>
    <w:p>
      <w:pPr>
        <w:spacing w:line="400" w:lineRule="exact"/>
        <w:ind w:firstLine="420" w:firstLineChars="200"/>
        <w:rPr>
          <w:rFonts w:ascii="Times New Roman" w:hAnsi="Times New Roman"/>
        </w:rPr>
      </w:pPr>
      <w:bookmarkStart w:id="312" w:name="_Toc56856899"/>
      <w:bookmarkStart w:id="313" w:name="_Toc50554694"/>
      <w:bookmarkStart w:id="314" w:name="_Toc41170903"/>
      <w:r>
        <w:rPr>
          <w:rFonts w:ascii="Times New Roman" w:hAnsi="Times New Roman"/>
        </w:rPr>
        <w:t>10. 需要补充的其他内容</w:t>
      </w:r>
      <w:bookmarkEnd w:id="312"/>
      <w:bookmarkEnd w:id="313"/>
      <w:bookmarkEnd w:id="314"/>
      <w:bookmarkStart w:id="315" w:name="_Toc22827"/>
      <w:bookmarkStart w:id="316" w:name="_Toc45702690"/>
      <w:bookmarkStart w:id="317" w:name="_Toc21893"/>
      <w:bookmarkStart w:id="318" w:name="_Toc56856900"/>
      <w:r>
        <w:rPr>
          <w:rFonts w:hint="eastAsia" w:ascii="Times New Roman" w:hAnsi="Times New Roman"/>
        </w:rPr>
        <w:t>：</w:t>
      </w:r>
      <w:r>
        <w:rPr>
          <w:rFonts w:ascii="Times New Roman" w:hAnsi="Times New Roman"/>
        </w:rPr>
        <w:t>需要补充的其他内容：见投标人须知前附表。</w:t>
      </w:r>
    </w:p>
    <w:bookmarkEnd w:id="315"/>
    <w:bookmarkEnd w:id="316"/>
    <w:bookmarkEnd w:id="317"/>
    <w:p>
      <w:pPr>
        <w:pStyle w:val="8"/>
        <w:ind w:firstLine="103"/>
        <w:rPr>
          <w:sz w:val="21"/>
          <w:u w:val="single"/>
        </w:rPr>
      </w:pPr>
    </w:p>
    <w:p>
      <w:pPr>
        <w:pStyle w:val="16"/>
        <w:rPr>
          <w:rFonts w:ascii="黑体" w:eastAsia="黑体"/>
          <w:szCs w:val="20"/>
        </w:rPr>
      </w:pPr>
      <w:r>
        <w:br w:type="page"/>
      </w:r>
    </w:p>
    <w:p>
      <w:pPr>
        <w:pStyle w:val="8"/>
        <w:ind w:firstLine="137"/>
        <w:rPr>
          <w:rFonts w:ascii="Times New Roman" w:hAnsi="Times New Roman"/>
        </w:rPr>
      </w:pPr>
      <w:r>
        <w:rPr>
          <w:rFonts w:hint="eastAsia" w:ascii="Times New Roman" w:hAnsi="Times New Roman"/>
        </w:rPr>
        <w:t>附件一：开标记录表</w:t>
      </w:r>
      <w:bookmarkEnd w:id="318"/>
    </w:p>
    <w:p>
      <w:pPr>
        <w:spacing w:line="440" w:lineRule="exact"/>
        <w:jc w:val="center"/>
        <w:rPr>
          <w:rFonts w:ascii="Times New Roman" w:hAnsi="Times New Roman" w:eastAsia="黑体"/>
          <w:sz w:val="28"/>
        </w:rPr>
      </w:pPr>
      <w:r>
        <w:rPr>
          <w:rFonts w:ascii="Times New Roman" w:hAnsi="Times New Roman" w:eastAsia="黑体"/>
          <w:sz w:val="28"/>
        </w:rPr>
        <w:t>开标记录表</w:t>
      </w:r>
    </w:p>
    <w:p>
      <w:pPr>
        <w:spacing w:before="120" w:beforeLines="50" w:after="120" w:afterLines="50" w:line="400" w:lineRule="exact"/>
        <w:ind w:right="420"/>
        <w:jc w:val="right"/>
        <w:rPr>
          <w:rFonts w:ascii="Times New Roman" w:hAnsi="Times New Roman"/>
        </w:rPr>
      </w:pPr>
      <w:r>
        <w:rPr>
          <w:rFonts w:ascii="Times New Roman" w:hAnsi="Times New Roman"/>
        </w:rPr>
        <w:t>开标时间：</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w:t>
      </w:r>
      <w:r>
        <w:rPr>
          <w:rFonts w:ascii="Times New Roman" w:hAnsi="Times New Roman"/>
          <w:u w:val="single"/>
        </w:rPr>
        <w:t xml:space="preserve">         </w:t>
      </w:r>
      <w:r>
        <w:rPr>
          <w:rFonts w:ascii="Times New Roman" w:hAnsi="Times New Roman"/>
        </w:rPr>
        <w:t>分</w:t>
      </w:r>
    </w:p>
    <w:tbl>
      <w:tblPr>
        <w:tblStyle w:val="43"/>
        <w:tblW w:w="8812" w:type="dxa"/>
        <w:jc w:val="center"/>
        <w:tblLayout w:type="fixed"/>
        <w:tblCellMar>
          <w:top w:w="0" w:type="dxa"/>
          <w:left w:w="108" w:type="dxa"/>
          <w:bottom w:w="0" w:type="dxa"/>
          <w:right w:w="108" w:type="dxa"/>
        </w:tblCellMar>
      </w:tblPr>
      <w:tblGrid>
        <w:gridCol w:w="723"/>
        <w:gridCol w:w="1138"/>
        <w:gridCol w:w="1109"/>
        <w:gridCol w:w="1561"/>
        <w:gridCol w:w="1701"/>
        <w:gridCol w:w="1472"/>
        <w:gridCol w:w="1108"/>
      </w:tblGrid>
      <w:tr>
        <w:tblPrEx>
          <w:tblCellMar>
            <w:top w:w="0" w:type="dxa"/>
            <w:left w:w="108" w:type="dxa"/>
            <w:bottom w:w="0" w:type="dxa"/>
            <w:right w:w="108" w:type="dxa"/>
          </w:tblCellMar>
        </w:tblPrEx>
        <w:trPr>
          <w:trHeight w:val="982"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序号</w:t>
            </w:r>
          </w:p>
        </w:tc>
        <w:tc>
          <w:tcPr>
            <w:tcW w:w="11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w:t>
            </w:r>
          </w:p>
        </w:tc>
        <w:tc>
          <w:tcPr>
            <w:tcW w:w="1109"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18"/>
              </w:rPr>
            </w:pPr>
            <w:r>
              <w:rPr>
                <w:rFonts w:ascii="Times New Roman" w:hAnsi="Times New Roman"/>
                <w:sz w:val="18"/>
              </w:rPr>
              <w:t>密封情况</w:t>
            </w:r>
          </w:p>
        </w:tc>
        <w:tc>
          <w:tcPr>
            <w:tcW w:w="156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投标保证金</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投标报价</w:t>
            </w:r>
          </w:p>
          <w:p>
            <w:pPr>
              <w:spacing w:line="500" w:lineRule="exact"/>
              <w:jc w:val="center"/>
              <w:rPr>
                <w:rFonts w:ascii="Times New Roman" w:hAnsi="Times New Roman"/>
                <w:sz w:val="18"/>
              </w:rPr>
            </w:pPr>
            <w:r>
              <w:rPr>
                <w:rFonts w:ascii="Times New Roman" w:hAnsi="Times New Roman"/>
                <w:sz w:val="18"/>
              </w:rPr>
              <w:t>（元）</w:t>
            </w:r>
          </w:p>
        </w:tc>
        <w:tc>
          <w:tcPr>
            <w:tcW w:w="14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备注</w:t>
            </w:r>
          </w:p>
        </w:tc>
        <w:tc>
          <w:tcPr>
            <w:tcW w:w="11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投标人代表签名</w:t>
            </w: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8"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bookmarkStart w:id="319" w:name="_Toc17638"/>
          </w:p>
        </w:tc>
      </w:tr>
      <w:tr>
        <w:tblPrEx>
          <w:tblCellMar>
            <w:top w:w="0" w:type="dxa"/>
            <w:left w:w="108" w:type="dxa"/>
            <w:bottom w:w="0" w:type="dxa"/>
            <w:right w:w="108" w:type="dxa"/>
          </w:tblCellMar>
        </w:tblPrEx>
        <w:trPr>
          <w:trHeight w:val="491" w:hRule="atLeast"/>
          <w:jc w:val="center"/>
        </w:trPr>
        <w:tc>
          <w:tcPr>
            <w:tcW w:w="72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56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70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47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bookmarkEnd w:id="319"/>
    </w:tbl>
    <w:p>
      <w:pPr>
        <w:spacing w:line="440" w:lineRule="exact"/>
        <w:rPr>
          <w:rFonts w:ascii="Times New Roman" w:hAnsi="Times New Roman"/>
        </w:rPr>
      </w:pPr>
      <w:r>
        <w:rPr>
          <w:rFonts w:ascii="Times New Roman" w:hAnsi="Times New Roman"/>
        </w:rPr>
        <w:t>　　　</w:t>
      </w:r>
    </w:p>
    <w:p>
      <w:pPr>
        <w:spacing w:line="620" w:lineRule="exact"/>
        <w:rPr>
          <w:rFonts w:ascii="Times New Roman" w:hAnsi="Times New Roman"/>
        </w:rPr>
      </w:pPr>
      <w:r>
        <w:rPr>
          <w:rFonts w:ascii="Times New Roman" w:hAnsi="Times New Roman"/>
        </w:rPr>
        <w:t>招标人代表：</w:t>
      </w:r>
      <w:r>
        <w:rPr>
          <w:rFonts w:ascii="Times New Roman" w:hAnsi="Times New Roman"/>
          <w:u w:val="single"/>
        </w:rPr>
        <w:t xml:space="preserve">       </w:t>
      </w:r>
      <w:r>
        <w:rPr>
          <w:rFonts w:ascii="Times New Roman" w:hAnsi="Times New Roman"/>
        </w:rPr>
        <w:t xml:space="preserve">        记录人：</w:t>
      </w:r>
      <w:r>
        <w:rPr>
          <w:rFonts w:ascii="Times New Roman" w:hAnsi="Times New Roman"/>
          <w:u w:val="single"/>
        </w:rPr>
        <w:t xml:space="preserve">       </w:t>
      </w:r>
      <w:r>
        <w:rPr>
          <w:rFonts w:ascii="Times New Roman" w:hAnsi="Times New Roman"/>
        </w:rPr>
        <w:t xml:space="preserve">       监标人：</w:t>
      </w:r>
      <w:r>
        <w:rPr>
          <w:rFonts w:ascii="Times New Roman" w:hAnsi="Times New Roman"/>
          <w:u w:val="single"/>
        </w:rPr>
        <w:t xml:space="preserve">       </w:t>
      </w:r>
    </w:p>
    <w:p>
      <w:pPr>
        <w:spacing w:line="620" w:lineRule="exact"/>
        <w:jc w:val="right"/>
        <w:rPr>
          <w:rFonts w:ascii="Times New Roman" w:hAnsi="Times New Roman"/>
          <w:sz w:val="2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rPr>
      </w:pPr>
      <w:r>
        <w:rPr>
          <w:rFonts w:ascii="Times New Roman" w:hAnsi="Times New Roman"/>
        </w:rPr>
        <w:br w:type="page"/>
      </w:r>
    </w:p>
    <w:p>
      <w:pPr>
        <w:pStyle w:val="8"/>
        <w:ind w:firstLine="137"/>
        <w:rPr>
          <w:rFonts w:ascii="Times New Roman" w:hAnsi="Times New Roman"/>
        </w:rPr>
      </w:pPr>
      <w:bookmarkStart w:id="320" w:name="_Toc56856901"/>
      <w:r>
        <w:rPr>
          <w:rFonts w:hint="eastAsia" w:ascii="Times New Roman" w:hAnsi="Times New Roman"/>
        </w:rPr>
        <w:t>附件二：问题澄清通知</w:t>
      </w:r>
      <w:bookmarkEnd w:id="320"/>
    </w:p>
    <w:p>
      <w:pPr>
        <w:spacing w:line="440" w:lineRule="exact"/>
        <w:jc w:val="center"/>
        <w:rPr>
          <w:rFonts w:ascii="Times New Roman" w:hAnsi="Times New Roman"/>
        </w:rPr>
      </w:pPr>
    </w:p>
    <w:p>
      <w:pPr>
        <w:spacing w:line="440" w:lineRule="exact"/>
        <w:jc w:val="center"/>
        <w:rPr>
          <w:rFonts w:ascii="Times New Roman" w:hAnsi="Times New Roman" w:eastAsia="黑体"/>
          <w:sz w:val="28"/>
        </w:rPr>
      </w:pPr>
      <w:r>
        <w:rPr>
          <w:rFonts w:ascii="Times New Roman" w:hAnsi="Times New Roman" w:eastAsia="黑体"/>
          <w:sz w:val="28"/>
        </w:rPr>
        <w:t>问题澄清通知</w:t>
      </w:r>
    </w:p>
    <w:p>
      <w:pPr>
        <w:spacing w:line="440" w:lineRule="exact"/>
        <w:jc w:val="center"/>
        <w:rPr>
          <w:rFonts w:ascii="Times New Roman" w:hAnsi="Times New Roman"/>
        </w:rPr>
      </w:pPr>
      <w:r>
        <w:rPr>
          <w:rFonts w:ascii="Times New Roman" w:hAnsi="Times New Roman"/>
        </w:rPr>
        <w:t>（编号：</w:t>
      </w:r>
      <w:r>
        <w:rPr>
          <w:rFonts w:ascii="Times New Roman" w:hAnsi="Times New Roman" w:eastAsia="黑体"/>
          <w:sz w:val="28"/>
          <w:u w:val="single"/>
        </w:rPr>
        <w:t xml:space="preserve">               </w:t>
      </w:r>
      <w:r>
        <w:rPr>
          <w:rFonts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（投标人名称）：</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评标委员会对你方的投标文件进行了仔细的审查，现需你方对下列问题以书</w:t>
      </w:r>
      <w:bookmarkStart w:id="321" w:name="_Toc247527601"/>
      <w:bookmarkStart w:id="322" w:name="_Toc352691521"/>
      <w:bookmarkStart w:id="323" w:name="_Toc152042352"/>
      <w:bookmarkStart w:id="324" w:name="_Toc300834996"/>
      <w:bookmarkStart w:id="325" w:name="_Toc23050"/>
      <w:bookmarkStart w:id="326" w:name="_Toc247514000"/>
      <w:bookmarkStart w:id="327" w:name="_Toc384308260"/>
      <w:bookmarkStart w:id="328" w:name="_Toc152045576"/>
      <w:bookmarkStart w:id="329" w:name="_Toc361508634"/>
      <w:bookmarkStart w:id="330" w:name="_Toc369531565"/>
      <w:bookmarkStart w:id="331" w:name="_Toc144974544"/>
      <w:r>
        <w:rPr>
          <w:rFonts w:ascii="Times New Roman" w:hAnsi="Times New Roman"/>
        </w:rPr>
        <w:t>面形式予以澄清、说明或补正：</w:t>
      </w:r>
    </w:p>
    <w:p>
      <w:pPr>
        <w:spacing w:line="440" w:lineRule="exact"/>
        <w:rPr>
          <w:rFonts w:ascii="Times New Roman" w:hAnsi="Times New Roman"/>
        </w:rPr>
      </w:pPr>
      <w:r>
        <w:rPr>
          <w:rFonts w:ascii="Times New Roman" w:hAnsi="Times New Roman"/>
        </w:rPr>
        <w:t>　　</w:t>
      </w:r>
    </w:p>
    <w:bookmarkEnd w:id="321"/>
    <w:bookmarkEnd w:id="322"/>
    <w:bookmarkEnd w:id="323"/>
    <w:bookmarkEnd w:id="324"/>
    <w:bookmarkEnd w:id="325"/>
    <w:bookmarkEnd w:id="326"/>
    <w:bookmarkEnd w:id="327"/>
    <w:bookmarkEnd w:id="328"/>
    <w:bookmarkEnd w:id="329"/>
    <w:bookmarkEnd w:id="330"/>
    <w:bookmarkEnd w:id="331"/>
    <w:p>
      <w:pPr>
        <w:spacing w:line="440" w:lineRule="exact"/>
        <w:rPr>
          <w:rFonts w:ascii="Times New Roman" w:hAnsi="Times New Roman"/>
        </w:rPr>
      </w:pPr>
      <w:r>
        <w:rPr>
          <w:rFonts w:ascii="Times New Roman" w:hAnsi="Times New Roman"/>
        </w:rPr>
        <w:t xml:space="preserve">    1.</w:t>
      </w:r>
    </w:p>
    <w:p>
      <w:pPr>
        <w:spacing w:line="440" w:lineRule="exact"/>
        <w:rPr>
          <w:rFonts w:ascii="Times New Roman" w:hAnsi="Times New Roman"/>
        </w:rPr>
      </w:pPr>
      <w:r>
        <w:rPr>
          <w:rFonts w:ascii="Times New Roman" w:hAnsi="Times New Roman"/>
        </w:rPr>
        <w:t xml:space="preserve">    2.</w:t>
      </w:r>
    </w:p>
    <w:p>
      <w:pPr>
        <w:spacing w:line="440" w:lineRule="exact"/>
        <w:rPr>
          <w:rFonts w:ascii="Times New Roman" w:hAnsi="Times New Roman"/>
        </w:rPr>
      </w:pPr>
      <w:r>
        <w:rPr>
          <w:rFonts w:ascii="Times New Roman" w:hAnsi="Times New Roman"/>
        </w:rPr>
        <w:t xml:space="preserve">     ......   </w:t>
      </w:r>
    </w:p>
    <w:p>
      <w:pPr>
        <w:spacing w:line="440" w:lineRule="exact"/>
        <w:rPr>
          <w:rFonts w:ascii="Times New Roman" w:hAnsi="Times New Roman"/>
        </w:rPr>
      </w:pPr>
      <w:r>
        <w:rPr>
          <w:rFonts w:ascii="Times New Roman" w:hAnsi="Times New Roman"/>
        </w:rPr>
        <w:t>　　　</w:t>
      </w:r>
    </w:p>
    <w:p>
      <w:pPr>
        <w:spacing w:line="440" w:lineRule="exact"/>
        <w:ind w:firstLine="405"/>
        <w:rPr>
          <w:rFonts w:ascii="Times New Roman" w:hAnsi="Times New Roman"/>
        </w:rPr>
      </w:pPr>
      <w:r>
        <w:rPr>
          <w:rFonts w:ascii="Times New Roman" w:hAnsi="Times New Roman"/>
        </w:rPr>
        <w:t>请将上述问题的澄清、说明或补正于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时前递交至</w:t>
      </w:r>
      <w:bookmarkStart w:id="332" w:name="_Toc352691522"/>
      <w:bookmarkStart w:id="333" w:name="_Toc152042353"/>
      <w:bookmarkStart w:id="334" w:name="_Toc300834997"/>
      <w:bookmarkStart w:id="335" w:name="_Toc28385"/>
      <w:bookmarkStart w:id="336" w:name="_Toc361508635"/>
      <w:bookmarkStart w:id="337" w:name="_Toc152045577"/>
      <w:bookmarkStart w:id="338" w:name="_Toc247527602"/>
      <w:bookmarkStart w:id="339" w:name="_Toc144974545"/>
      <w:bookmarkStart w:id="340" w:name="_Toc384308261"/>
      <w:bookmarkStart w:id="341" w:name="_Toc247514001"/>
      <w:bookmarkStart w:id="342" w:name="_Toc369531566"/>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（详细地址）或传真至</w:t>
      </w:r>
      <w:bookmarkEnd w:id="332"/>
      <w:bookmarkEnd w:id="333"/>
      <w:bookmarkEnd w:id="334"/>
      <w:bookmarkEnd w:id="335"/>
      <w:bookmarkEnd w:id="336"/>
      <w:bookmarkEnd w:id="337"/>
      <w:bookmarkEnd w:id="338"/>
      <w:bookmarkEnd w:id="339"/>
      <w:bookmarkEnd w:id="340"/>
      <w:bookmarkEnd w:id="341"/>
      <w:bookmarkEnd w:id="342"/>
      <w:r>
        <w:rPr>
          <w:rFonts w:ascii="Times New Roman" w:hAnsi="Times New Roman"/>
          <w:u w:val="single"/>
        </w:rPr>
        <w:t xml:space="preserve">                     </w:t>
      </w:r>
      <w:r>
        <w:rPr>
          <w:rFonts w:ascii="Times New Roman" w:hAnsi="Times New Roman"/>
        </w:rPr>
        <w:t>（传真号码）或通过下载招标文件的电子招标交易平台上传。采用传真方式的，应在</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时前将原件递交至</w:t>
      </w:r>
      <w:r>
        <w:rPr>
          <w:rFonts w:ascii="Times New Roman" w:hAnsi="Times New Roman"/>
          <w:u w:val="single"/>
        </w:rPr>
        <w:t xml:space="preserve">                     </w:t>
      </w:r>
      <w:r>
        <w:rPr>
          <w:rFonts w:ascii="Times New Roman" w:hAnsi="Times New Roman"/>
        </w:rPr>
        <w:t>（详细地址）。</w:t>
      </w: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2100" w:firstLineChars="1000"/>
        <w:rPr>
          <w:rFonts w:ascii="Times New Roman" w:hAnsi="Times New Roman"/>
        </w:rPr>
      </w:pPr>
      <w:r>
        <w:rPr>
          <w:rFonts w:ascii="Times New Roman" w:hAnsi="Times New Roman"/>
        </w:rPr>
        <w:t>评标委员会授权的招标人或招标代理机构：</w:t>
      </w:r>
      <w:r>
        <w:rPr>
          <w:rFonts w:ascii="Times New Roman" w:hAnsi="Times New Roman" w:eastAsia="黑体"/>
          <w:sz w:val="28"/>
          <w:u w:val="single"/>
        </w:rPr>
        <w:t xml:space="preserve">      </w:t>
      </w:r>
      <w:r>
        <w:rPr>
          <w:rFonts w:ascii="Times New Roman" w:hAnsi="Times New Roman"/>
        </w:rPr>
        <w:t>（签字或盖章）</w:t>
      </w:r>
      <w:bookmarkStart w:id="343" w:name="_Toc361508636"/>
      <w:bookmarkStart w:id="344" w:name="_Toc352691523"/>
      <w:bookmarkStart w:id="345" w:name="_Toc369531567"/>
      <w:bookmarkStart w:id="346" w:name="_Toc6580"/>
      <w:bookmarkStart w:id="347" w:name="_Toc300834998"/>
      <w:bookmarkStart w:id="348" w:name="_Toc247514002"/>
      <w:bookmarkStart w:id="349" w:name="_Toc152042354"/>
      <w:bookmarkStart w:id="350" w:name="_Toc152045578"/>
      <w:bookmarkStart w:id="351" w:name="_Toc384308262"/>
      <w:bookmarkStart w:id="352" w:name="_Toc247527603"/>
      <w:bookmarkStart w:id="353" w:name="_Toc144974546"/>
    </w:p>
    <w:bookmarkEnd w:id="343"/>
    <w:bookmarkEnd w:id="344"/>
    <w:bookmarkEnd w:id="345"/>
    <w:bookmarkEnd w:id="346"/>
    <w:bookmarkEnd w:id="347"/>
    <w:bookmarkEnd w:id="348"/>
    <w:bookmarkEnd w:id="349"/>
    <w:bookmarkEnd w:id="350"/>
    <w:bookmarkEnd w:id="351"/>
    <w:bookmarkEnd w:id="352"/>
    <w:p>
      <w:pPr>
        <w:spacing w:line="440" w:lineRule="exact"/>
        <w:rPr>
          <w:rFonts w:ascii="Times New Roman" w:hAnsi="Times New Roman"/>
        </w:rPr>
      </w:pPr>
      <w:bookmarkStart w:id="354" w:name="_Toc152042355"/>
    </w:p>
    <w:p>
      <w:pPr>
        <w:spacing w:line="440" w:lineRule="exact"/>
        <w:ind w:right="840"/>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pStyle w:val="8"/>
        <w:ind w:firstLine="137"/>
        <w:rPr>
          <w:rFonts w:ascii="Times New Roman" w:hAnsi="Times New Roman"/>
        </w:rPr>
      </w:pPr>
      <w:bookmarkStart w:id="355" w:name="_Toc56856902"/>
      <w:r>
        <w:rPr>
          <w:rFonts w:hint="eastAsia" w:ascii="Times New Roman" w:hAnsi="Times New Roman"/>
        </w:rPr>
        <w:t>附件三：问题的澄清</w:t>
      </w:r>
      <w:bookmarkEnd w:id="355"/>
    </w:p>
    <w:p>
      <w:pPr>
        <w:spacing w:line="400" w:lineRule="exact"/>
        <w:jc w:val="center"/>
        <w:rPr>
          <w:rFonts w:ascii="Times New Roman" w:hAnsi="Times New Roman" w:eastAsia="黑体"/>
          <w:sz w:val="28"/>
        </w:rPr>
      </w:pPr>
    </w:p>
    <w:p>
      <w:pPr>
        <w:spacing w:line="400" w:lineRule="exact"/>
        <w:jc w:val="center"/>
        <w:rPr>
          <w:rFonts w:ascii="Times New Roman" w:hAnsi="Times New Roman" w:eastAsia="黑体"/>
          <w:sz w:val="28"/>
        </w:rPr>
      </w:pPr>
      <w:r>
        <w:rPr>
          <w:rFonts w:ascii="Times New Roman" w:hAnsi="Times New Roman" w:eastAsia="黑体"/>
          <w:sz w:val="28"/>
        </w:rPr>
        <w:t>问</w:t>
      </w:r>
      <w:bookmarkEnd w:id="354"/>
      <w:r>
        <w:rPr>
          <w:rFonts w:ascii="Times New Roman" w:hAnsi="Times New Roman" w:eastAsia="黑体"/>
          <w:sz w:val="28"/>
        </w:rPr>
        <w:t>题</w:t>
      </w:r>
      <w:bookmarkStart w:id="356" w:name="_Toc384308263"/>
      <w:bookmarkStart w:id="357" w:name="_Toc152042356"/>
      <w:bookmarkStart w:id="358" w:name="_Toc352691524"/>
      <w:bookmarkStart w:id="359" w:name="_Toc247514003"/>
      <w:bookmarkStart w:id="360" w:name="_Toc369531568"/>
      <w:bookmarkStart w:id="361" w:name="_Toc247527604"/>
      <w:bookmarkStart w:id="362" w:name="_Toc3622"/>
      <w:bookmarkStart w:id="363" w:name="_Toc152045579"/>
      <w:bookmarkStart w:id="364" w:name="_Toc361508637"/>
      <w:bookmarkStart w:id="365" w:name="_Toc300834999"/>
      <w:r>
        <w:rPr>
          <w:rFonts w:ascii="Times New Roman" w:hAnsi="Times New Roman" w:eastAsia="黑体"/>
          <w:sz w:val="28"/>
        </w:rPr>
        <w:t>的澄清</w:t>
      </w:r>
    </w:p>
    <w:p>
      <w:pPr>
        <w:spacing w:line="400" w:lineRule="exact"/>
        <w:ind w:firstLine="3465" w:firstLineChars="1650"/>
        <w:rPr>
          <w:rFonts w:ascii="Times New Roman" w:hAnsi="Times New Roman"/>
        </w:rPr>
      </w:pPr>
      <w:r>
        <w:rPr>
          <w:rFonts w:ascii="Times New Roman" w:hAnsi="Times New Roman"/>
        </w:rPr>
        <w:t>（编号</w:t>
      </w:r>
      <w:bookmarkEnd w:id="353"/>
      <w:bookmarkEnd w:id="356"/>
      <w:bookmarkEnd w:id="357"/>
      <w:bookmarkEnd w:id="358"/>
      <w:bookmarkEnd w:id="359"/>
      <w:bookmarkEnd w:id="360"/>
      <w:bookmarkEnd w:id="361"/>
      <w:bookmarkEnd w:id="362"/>
      <w:bookmarkEnd w:id="363"/>
      <w:bookmarkEnd w:id="364"/>
      <w:bookmarkEnd w:id="365"/>
      <w:r>
        <w:rPr>
          <w:rFonts w:ascii="Times New Roman" w:hAnsi="Times New Roman"/>
        </w:rPr>
        <w:t>：</w:t>
      </w:r>
      <w:r>
        <w:rPr>
          <w:rFonts w:ascii="Times New Roman" w:hAnsi="Times New Roman" w:eastAsia="黑体"/>
          <w:sz w:val="28"/>
          <w:u w:val="single"/>
        </w:rPr>
        <w:t xml:space="preserve">           </w:t>
      </w:r>
      <w:r>
        <w:rPr>
          <w:rFonts w:ascii="Times New Roman" w:hAnsi="Times New Roman"/>
        </w:rPr>
        <w:t>）</w:t>
      </w:r>
    </w:p>
    <w:p>
      <w:pPr>
        <w:spacing w:line="400" w:lineRule="exact"/>
        <w:rPr>
          <w:rFonts w:ascii="Times New Roman" w:hAnsi="Times New Roman"/>
        </w:rPr>
      </w:pPr>
    </w:p>
    <w:p>
      <w:pPr>
        <w:spacing w:line="440" w:lineRule="exact"/>
        <w:rPr>
          <w:rFonts w:ascii="Times New Roman" w:hAnsi="Times New Roman"/>
        </w:rPr>
      </w:pPr>
      <w:r>
        <w:rPr>
          <w:rFonts w:ascii="Times New Roman" w:hAnsi="Times New Roman"/>
        </w:rPr>
        <w:t>评标委员会：</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问题澄清通知（编号：</w:t>
      </w:r>
      <w:r>
        <w:rPr>
          <w:rFonts w:ascii="Times New Roman" w:hAnsi="Times New Roman" w:eastAsia="黑体"/>
          <w:sz w:val="28"/>
          <w:u w:val="single"/>
        </w:rPr>
        <w:t xml:space="preserve">      </w:t>
      </w:r>
      <w:r>
        <w:rPr>
          <w:rFonts w:ascii="Times New Roman" w:hAnsi="Times New Roman"/>
        </w:rPr>
        <w:t>）已收悉，现澄清、说明或补正如下：</w:t>
      </w:r>
    </w:p>
    <w:p>
      <w:pPr>
        <w:spacing w:line="440" w:lineRule="exact"/>
        <w:rPr>
          <w:rFonts w:ascii="Times New Roman" w:hAnsi="Times New Roman"/>
        </w:rPr>
      </w:pPr>
      <w:r>
        <w:rPr>
          <w:rFonts w:ascii="Times New Roman" w:hAnsi="Times New Roman"/>
        </w:rPr>
        <w:t>　     1.</w:t>
      </w:r>
    </w:p>
    <w:p>
      <w:pPr>
        <w:spacing w:line="440" w:lineRule="exact"/>
        <w:rPr>
          <w:rFonts w:ascii="Times New Roman" w:hAnsi="Times New Roman"/>
        </w:rPr>
      </w:pPr>
      <w:r>
        <w:rPr>
          <w:rFonts w:ascii="Times New Roman" w:hAnsi="Times New Roman"/>
        </w:rPr>
        <w:t>　     2.</w:t>
      </w:r>
    </w:p>
    <w:p>
      <w:pPr>
        <w:spacing w:line="440" w:lineRule="exact"/>
        <w:rPr>
          <w:rFonts w:ascii="Times New Roman" w:hAnsi="Times New Roman"/>
        </w:rPr>
      </w:pPr>
      <w:r>
        <w:rPr>
          <w:rFonts w:ascii="Times New Roman" w:hAnsi="Times New Roman"/>
        </w:rPr>
        <w:t>　    .....</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w:t>
      </w:r>
    </w:p>
    <w:p>
      <w:pPr>
        <w:spacing w:line="440" w:lineRule="exact"/>
        <w:rPr>
          <w:rFonts w:ascii="Times New Roman" w:hAnsi="Times New Roman"/>
        </w:rPr>
      </w:pPr>
    </w:p>
    <w:p>
      <w:pPr>
        <w:spacing w:line="440" w:lineRule="exact"/>
        <w:ind w:firstLine="420" w:firstLineChars="200"/>
        <w:rPr>
          <w:rFonts w:ascii="Times New Roman" w:hAnsi="Times New Roman"/>
        </w:rPr>
      </w:pPr>
      <w:r>
        <w:rPr>
          <w:rFonts w:ascii="Times New Roman" w:hAnsi="Times New Roman"/>
        </w:rPr>
        <w:t>上述问题澄清、说明或补正，不改变我方投标文件的实质性内容，构成我方投标文件的组成部分。</w:t>
      </w:r>
    </w:p>
    <w:p>
      <w:pPr>
        <w:spacing w:line="440" w:lineRule="exact"/>
        <w:rPr>
          <w:rFonts w:ascii="Times New Roman" w:hAnsi="Times New Roman"/>
        </w:rPr>
      </w:pPr>
    </w:p>
    <w:p>
      <w:pPr>
        <w:spacing w:line="440" w:lineRule="exact"/>
        <w:rPr>
          <w:rFonts w:ascii="Times New Roman" w:hAnsi="Times New Roman"/>
        </w:rPr>
      </w:pPr>
    </w:p>
    <w:p>
      <w:pPr>
        <w:spacing w:line="480" w:lineRule="auto"/>
        <w:rPr>
          <w:rFonts w:ascii="Times New Roman" w:hAnsi="Times New Roman"/>
        </w:rPr>
      </w:pPr>
      <w:r>
        <w:rPr>
          <w:rFonts w:ascii="Times New Roman" w:hAnsi="Times New Roman"/>
        </w:rPr>
        <w:t>　　　　　　　　　　　　　　投标人：</w:t>
      </w:r>
      <w:r>
        <w:rPr>
          <w:rFonts w:ascii="Times New Roman" w:hAnsi="Times New Roman" w:eastAsia="黑体"/>
          <w:sz w:val="28"/>
          <w:u w:val="single"/>
        </w:rPr>
        <w:t xml:space="preserve">                         </w:t>
      </w:r>
      <w:r>
        <w:rPr>
          <w:rFonts w:ascii="Times New Roman" w:hAnsi="Times New Roman"/>
        </w:rPr>
        <w:t>（盖单位章）</w:t>
      </w:r>
    </w:p>
    <w:p>
      <w:pPr>
        <w:spacing w:line="480" w:lineRule="auto"/>
        <w:ind w:firstLine="2835" w:firstLineChars="1350"/>
        <w:rPr>
          <w:rFonts w:ascii="Times New Roman" w:hAnsi="Times New Roman"/>
        </w:rPr>
      </w:pPr>
      <w:r>
        <w:rPr>
          <w:rFonts w:hint="eastAsia" w:ascii="Times New Roman" w:hAnsi="Times New Roman"/>
        </w:rPr>
        <w:t xml:space="preserve"> </w:t>
      </w:r>
      <w:r>
        <w:rPr>
          <w:rFonts w:ascii="Times New Roman" w:hAnsi="Times New Roman"/>
        </w:rPr>
        <w:t>法定代表人或其委托代理人：</w:t>
      </w:r>
      <w:r>
        <w:rPr>
          <w:rFonts w:ascii="Times New Roman" w:hAnsi="Times New Roman"/>
          <w:u w:val="single"/>
        </w:rPr>
        <w:t xml:space="preserve">        </w:t>
      </w:r>
      <w:r>
        <w:rPr>
          <w:rFonts w:ascii="Times New Roman" w:hAnsi="Times New Roman"/>
        </w:rPr>
        <w:t>（签字）</w:t>
      </w:r>
    </w:p>
    <w:p>
      <w:pPr>
        <w:spacing w:line="440" w:lineRule="exact"/>
        <w:rPr>
          <w:rFonts w:ascii="Times New Roman" w:hAnsi="Times New Roman"/>
        </w:rPr>
      </w:pPr>
      <w:r>
        <w:rPr>
          <w:rFonts w:ascii="Times New Roman" w:hAnsi="Times New Roman"/>
        </w:rPr>
        <w:t>　　　　　　　　　　　　　　　</w:t>
      </w:r>
    </w:p>
    <w:p>
      <w:pPr>
        <w:spacing w:line="440" w:lineRule="exact"/>
        <w:jc w:val="right"/>
        <w:rPr>
          <w:rFonts w:ascii="Times New Roman" w:hAnsi="Times New Roman"/>
        </w:rPr>
      </w:pPr>
      <w:r>
        <w:rPr>
          <w:rFonts w:ascii="Times New Roman" w:hAnsi="Times New Roman"/>
        </w:rPr>
        <w:t>　　　　　　　　　　　　　　　</w:t>
      </w:r>
      <w:r>
        <w:rPr>
          <w:rFonts w:ascii="Times New Roman" w:hAnsi="Times New Roman"/>
          <w:u w:val="single"/>
        </w:rPr>
        <w:t xml:space="preserve">        </w:t>
      </w:r>
      <w:r>
        <w:rPr>
          <w:rFonts w:ascii="Times New Roman" w:hAnsi="Times New Roman"/>
        </w:rPr>
        <w:t>年</w:t>
      </w:r>
      <w:bookmarkStart w:id="366" w:name="_Toc247527606"/>
      <w:bookmarkStart w:id="367" w:name="_Toc152045581"/>
      <w:bookmarkStart w:id="368" w:name="_Toc361508640"/>
      <w:bookmarkStart w:id="369" w:name="_Toc15139"/>
      <w:bookmarkStart w:id="370" w:name="_Toc152042358"/>
      <w:bookmarkStart w:id="371" w:name="_Toc247514005"/>
      <w:bookmarkStart w:id="372" w:name="_Toc144974548"/>
      <w:bookmarkStart w:id="373" w:name="_Toc384308266"/>
      <w:bookmarkStart w:id="374" w:name="_Toc369531571"/>
      <w:bookmarkStart w:id="375" w:name="_Toc352691527"/>
      <w:bookmarkStart w:id="376" w:name="_Toc300835002"/>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bookmarkEnd w:id="366"/>
    <w:bookmarkEnd w:id="367"/>
    <w:bookmarkEnd w:id="368"/>
    <w:bookmarkEnd w:id="369"/>
    <w:bookmarkEnd w:id="370"/>
    <w:bookmarkEnd w:id="371"/>
    <w:bookmarkEnd w:id="372"/>
    <w:bookmarkEnd w:id="373"/>
    <w:bookmarkEnd w:id="374"/>
    <w:bookmarkEnd w:id="375"/>
    <w:bookmarkEnd w:id="376"/>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pStyle w:val="3"/>
      </w:pPr>
      <w:bookmarkStart w:id="377" w:name="_Toc56857075"/>
      <w:bookmarkStart w:id="378" w:name="_Toc56856903"/>
      <w:r>
        <w:rPr>
          <w:rFonts w:hint="eastAsia"/>
        </w:rPr>
        <w:t>第三章 评标办法</w:t>
      </w:r>
      <w:bookmarkEnd w:id="377"/>
      <w:bookmarkEnd w:id="378"/>
      <w:r>
        <w:rPr>
          <w:rFonts w:hint="eastAsia"/>
        </w:rPr>
        <w:t>（综合评估法）</w:t>
      </w:r>
    </w:p>
    <w:p>
      <w:pPr>
        <w:pStyle w:val="7"/>
        <w:rPr>
          <w:rFonts w:ascii="Times New Roman" w:hAnsi="Times New Roman"/>
        </w:rPr>
      </w:pPr>
      <w:bookmarkStart w:id="379" w:name="_Toc56856904"/>
      <w:bookmarkStart w:id="380" w:name="_Toc201743188"/>
      <w:bookmarkStart w:id="381" w:name="_Toc201998016"/>
      <w:bookmarkStart w:id="382" w:name="_Toc199215815"/>
      <w:bookmarkStart w:id="383" w:name="_Toc204235413"/>
      <w:bookmarkStart w:id="384" w:name="_Toc204235482"/>
      <w:bookmarkStart w:id="385" w:name="_Toc199213780"/>
      <w:r>
        <w:rPr>
          <w:rFonts w:hint="eastAsia" w:ascii="Times New Roman" w:hAnsi="Times New Roman"/>
        </w:rPr>
        <w:t>评标办法前附表</w:t>
      </w:r>
      <w:bookmarkEnd w:id="379"/>
    </w:p>
    <w:tbl>
      <w:tblPr>
        <w:tblStyle w:val="43"/>
        <w:tblW w:w="9211" w:type="dxa"/>
        <w:tblInd w:w="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2"/>
        <w:gridCol w:w="1031"/>
        <w:gridCol w:w="2260"/>
        <w:gridCol w:w="48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53"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评审因素</w:t>
            </w:r>
          </w:p>
        </w:tc>
        <w:tc>
          <w:tcPr>
            <w:tcW w:w="4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2.1.1</w:t>
            </w:r>
          </w:p>
          <w:p>
            <w:pPr>
              <w:spacing w:line="440" w:lineRule="exact"/>
              <w:rPr>
                <w:rFonts w:ascii="Times New Roman" w:hAnsi="Times New Roman"/>
              </w:rPr>
            </w:pPr>
          </w:p>
        </w:tc>
        <w:tc>
          <w:tcPr>
            <w:tcW w:w="1031"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初步评审</w:t>
            </w:r>
            <w:r>
              <w:rPr>
                <w:rFonts w:ascii="Times New Roman" w:hAnsi="Times New Roman"/>
              </w:rPr>
              <w:t>评审标准</w:t>
            </w: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投标人名称</w:t>
            </w:r>
          </w:p>
        </w:tc>
        <w:tc>
          <w:tcPr>
            <w:tcW w:w="489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rPr>
                <w:rFonts w:ascii="Times New Roman" w:hAnsi="Times New Roman"/>
              </w:rPr>
            </w:pPr>
          </w:p>
        </w:tc>
        <w:tc>
          <w:tcPr>
            <w:tcW w:w="1031" w:type="dxa"/>
            <w:vMerge w:val="continue"/>
            <w:tcBorders>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投标函</w:t>
            </w:r>
            <w:r>
              <w:rPr>
                <w:rFonts w:hint="eastAsia" w:ascii="Times New Roman" w:hAnsi="Times New Roman"/>
              </w:rPr>
              <w:t>及投标函附录</w:t>
            </w:r>
            <w:r>
              <w:rPr>
                <w:rFonts w:ascii="Times New Roman" w:hAnsi="Times New Roman"/>
              </w:rPr>
              <w:t>签字盖章</w:t>
            </w:r>
          </w:p>
        </w:tc>
        <w:tc>
          <w:tcPr>
            <w:tcW w:w="489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有法定代表人</w:t>
            </w:r>
            <w:bookmarkStart w:id="386" w:name="_Toc247514008"/>
            <w:bookmarkStart w:id="387" w:name="_Toc152042361"/>
            <w:bookmarkStart w:id="388" w:name="_Toc352691530"/>
            <w:bookmarkStart w:id="389" w:name="_Toc369531574"/>
            <w:bookmarkStart w:id="390" w:name="_Toc152045584"/>
            <w:bookmarkStart w:id="391" w:name="_Toc247527609"/>
            <w:bookmarkStart w:id="392" w:name="_Toc144974551"/>
            <w:bookmarkStart w:id="393" w:name="_Toc300835005"/>
            <w:bookmarkStart w:id="394" w:name="_Toc361508643"/>
            <w:bookmarkStart w:id="395" w:name="_Toc6546"/>
            <w:bookmarkStart w:id="396" w:name="_Toc384308269"/>
            <w:r>
              <w:rPr>
                <w:rFonts w:ascii="Times New Roman" w:hAnsi="Times New Roman"/>
              </w:rPr>
              <w:t>或其委托</w:t>
            </w:r>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rPr>
              <w:t>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rPr>
                <w:rFonts w:ascii="Times New Roman" w:hAnsi="Times New Roman"/>
              </w:rPr>
            </w:pPr>
          </w:p>
        </w:tc>
        <w:tc>
          <w:tcPr>
            <w:tcW w:w="1031" w:type="dxa"/>
            <w:vMerge w:val="continue"/>
            <w:tcBorders>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投标文件格式</w:t>
            </w:r>
          </w:p>
        </w:tc>
        <w:tc>
          <w:tcPr>
            <w:tcW w:w="489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实质性</w:t>
            </w:r>
            <w:r>
              <w:rPr>
                <w:rFonts w:ascii="Times New Roman" w:hAnsi="Times New Roman"/>
              </w:rPr>
              <w:t>内容符合第六章“投标文件格式”的规定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rPr>
                <w:rFonts w:ascii="Times New Roman" w:hAnsi="Times New Roman"/>
              </w:rPr>
            </w:pPr>
          </w:p>
        </w:tc>
        <w:tc>
          <w:tcPr>
            <w:tcW w:w="1031" w:type="dxa"/>
            <w:vMerge w:val="continue"/>
            <w:tcBorders>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资格</w:t>
            </w:r>
            <w:r>
              <w:rPr>
                <w:rFonts w:ascii="Times New Roman" w:hAnsi="Times New Roman"/>
              </w:rPr>
              <w:t>要求</w:t>
            </w:r>
          </w:p>
        </w:tc>
        <w:tc>
          <w:tcPr>
            <w:tcW w:w="489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详见招标公告第3.1条、3.2条、3.</w:t>
            </w:r>
            <w:r>
              <w:rPr>
                <w:rFonts w:ascii="Times New Roman" w:hAnsi="Times New Roman"/>
              </w:rPr>
              <w:t>3</w:t>
            </w:r>
            <w:r>
              <w:rPr>
                <w:rFonts w:hint="eastAsia" w:ascii="Times New Roman" w:hAnsi="Times New Roman"/>
              </w:rPr>
              <w:t>条、3.4条、3.5条、3.6</w:t>
            </w:r>
            <w:r>
              <w:rPr>
                <w:rFonts w:hint="eastAsia" w:ascii="Times New Roman" w:hAnsi="Times New Roman"/>
                <w:lang w:eastAsia="zh-CN"/>
              </w:rPr>
              <w:t>、</w:t>
            </w:r>
            <w:r>
              <w:rPr>
                <w:rFonts w:hint="eastAsia" w:ascii="Times New Roman" w:hAnsi="Times New Roman"/>
                <w:lang w:val="en-US" w:eastAsia="zh-CN"/>
              </w:rPr>
              <w:t>3.7、3.8、3.9</w:t>
            </w:r>
            <w:r>
              <w:rPr>
                <w:rFonts w:hint="eastAsia" w:ascii="Times New Roman" w:hAnsi="Times New Roman"/>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spacing w:line="440" w:lineRule="exact"/>
              <w:jc w:val="center"/>
              <w:rPr>
                <w:rFonts w:ascii="Times New Roman" w:hAnsi="Times New Roman"/>
              </w:rPr>
            </w:pPr>
          </w:p>
        </w:tc>
        <w:tc>
          <w:tcPr>
            <w:tcW w:w="1031" w:type="dxa"/>
            <w:vMerge w:val="continue"/>
            <w:tcBorders>
              <w:right w:val="single" w:color="auto" w:sz="4" w:space="0"/>
            </w:tcBorders>
            <w:vAlign w:val="center"/>
          </w:tcPr>
          <w:p>
            <w:pPr>
              <w:spacing w:line="440" w:lineRule="exact"/>
              <w:jc w:val="cente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投标报价</w:t>
            </w:r>
          </w:p>
        </w:tc>
        <w:tc>
          <w:tcPr>
            <w:tcW w:w="4898" w:type="dxa"/>
            <w:tcBorders>
              <w:top w:val="single" w:color="auto" w:sz="4" w:space="0"/>
              <w:left w:val="single" w:color="auto" w:sz="4" w:space="0"/>
              <w:bottom w:val="single" w:color="auto" w:sz="4" w:space="0"/>
            </w:tcBorders>
            <w:vAlign w:val="center"/>
          </w:tcPr>
          <w:p>
            <w:pPr>
              <w:numPr>
                <w:ilvl w:val="-1"/>
                <w:numId w:val="0"/>
              </w:numPr>
              <w:spacing w:line="440" w:lineRule="exact"/>
              <w:rPr>
                <w:rFonts w:ascii="Times New Roman" w:hAnsi="Times New Roman"/>
              </w:rPr>
            </w:pPr>
            <w:r>
              <w:rPr>
                <w:rFonts w:hint="eastAsia" w:ascii="Times New Roman" w:hAnsi="Times New Roman" w:eastAsia="宋体" w:cs="Times New Roman"/>
                <w:szCs w:val="22"/>
                <w:lang w:val="en-US" w:eastAsia="zh-CN"/>
              </w:rPr>
              <w:t>1、</w:t>
            </w:r>
            <w:r>
              <w:rPr>
                <w:rFonts w:ascii="Times New Roman" w:hAnsi="Times New Roman"/>
                <w:szCs w:val="22"/>
              </w:rPr>
              <w:t>报价唯一</w:t>
            </w:r>
            <w:r>
              <w:rPr>
                <w:rFonts w:hint="default" w:ascii="Times New Roman" w:hAnsi="Times New Roman"/>
                <w:szCs w:val="22"/>
              </w:rPr>
              <w:t>且</w:t>
            </w:r>
            <w:r>
              <w:rPr>
                <w:rFonts w:hint="default" w:ascii="Times New Roman" w:hAnsi="Times New Roman"/>
              </w:rPr>
              <w:t>投标报价</w:t>
            </w:r>
            <w:r>
              <w:rPr>
                <w:rFonts w:hint="default" w:ascii="Times New Roman" w:hAnsi="Times New Roman"/>
                <w:lang w:val="en-US" w:eastAsia="zh-CN"/>
              </w:rPr>
              <w:t>总价</w:t>
            </w:r>
            <w:r>
              <w:rPr>
                <w:rFonts w:hint="default" w:ascii="Times New Roman" w:hAnsi="Times New Roman"/>
              </w:rPr>
              <w:t>没有超过最高投标限价（招标控制价）。招标</w:t>
            </w:r>
            <w:r>
              <w:rPr>
                <w:rFonts w:ascii="Times New Roman" w:hAnsi="Times New Roman"/>
              </w:rPr>
              <w:t>控制价详见招标公告。</w:t>
            </w:r>
          </w:p>
          <w:p>
            <w:pPr>
              <w:spacing w:line="440" w:lineRule="exact"/>
              <w:rPr>
                <w:rFonts w:ascii="Times New Roman" w:hAnsi="Times New Roman" w:eastAsia="宋体" w:cs="Times New Roman"/>
              </w:rPr>
            </w:pPr>
            <w:r>
              <w:rPr>
                <w:rFonts w:hint="eastAsia" w:ascii="Times New Roman" w:hAnsi="Times New Roman" w:eastAsia="宋体" w:cs="Times New Roman"/>
                <w:lang w:val="en-US" w:eastAsia="zh-CN"/>
              </w:rPr>
              <w:t>2、</w:t>
            </w:r>
            <w:r>
              <w:rPr>
                <w:rFonts w:hint="default" w:ascii="Times New Roman" w:hAnsi="Times New Roman" w:eastAsia="宋体" w:cs="Times New Roman"/>
              </w:rPr>
              <w:t>各类药剂投标单价不得超过采购清单中单价上限</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单价上限详见采购清单。</w:t>
            </w:r>
          </w:p>
          <w:p>
            <w:pPr>
              <w:spacing w:line="440" w:lineRule="exact"/>
              <w:rPr>
                <w:rFonts w:hint="default"/>
                <w:lang w:val="en-US"/>
              </w:rPr>
            </w:pPr>
            <w:r>
              <w:rPr>
                <w:rFonts w:hint="default" w:ascii="Times New Roman" w:hAnsi="Times New Roman"/>
                <w:lang w:val="en-US" w:eastAsia="zh-CN"/>
              </w:rPr>
              <w:t>3、供应商报价低于最高限价60%的，必须在投标文件中说明报价理由。其报价理由交由评标委员会进行检查和核算。若不提交或报价理由不成立的，将被评标委员会认定为低于成本价恶意竞争而导致投标无效。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rPr>
                <w:rFonts w:ascii="Times New Roman" w:hAnsi="Times New Roman"/>
              </w:rPr>
            </w:pPr>
          </w:p>
        </w:tc>
        <w:tc>
          <w:tcPr>
            <w:tcW w:w="1031" w:type="dxa"/>
            <w:vMerge w:val="continue"/>
            <w:tcBorders>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rPr>
            </w:pPr>
            <w:r>
              <w:rPr>
                <w:rFonts w:ascii="Times New Roman" w:hAnsi="Times New Roman"/>
              </w:rPr>
              <w:t>投标有效期</w:t>
            </w:r>
          </w:p>
        </w:tc>
        <w:tc>
          <w:tcPr>
            <w:tcW w:w="4898"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hint="eastAsia" w:ascii="Times New Roman" w:hAnsi="Times New Roman"/>
              </w:rPr>
              <w:t>投标有效期为120天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rPr>
                <w:rFonts w:ascii="Times New Roman" w:hAnsi="Times New Roman"/>
              </w:rPr>
            </w:pPr>
          </w:p>
        </w:tc>
        <w:tc>
          <w:tcPr>
            <w:tcW w:w="1031" w:type="dxa"/>
            <w:vMerge w:val="continue"/>
            <w:tcBorders>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rPr>
            </w:pPr>
            <w:r>
              <w:rPr>
                <w:rFonts w:ascii="Times New Roman" w:hAnsi="Times New Roman"/>
              </w:rPr>
              <w:t>投标保证金</w:t>
            </w:r>
          </w:p>
        </w:tc>
        <w:tc>
          <w:tcPr>
            <w:tcW w:w="4898"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hint="eastAsia" w:ascii="Times New Roman" w:hAnsi="Times New Roman"/>
              </w:rPr>
              <w:t>按招标文件规定递交投标保证金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right w:val="single" w:color="auto" w:sz="4" w:space="0"/>
            </w:tcBorders>
            <w:vAlign w:val="center"/>
          </w:tcPr>
          <w:p>
            <w:pPr>
              <w:rPr>
                <w:rFonts w:ascii="Times New Roman" w:hAnsi="Times New Roman"/>
              </w:rPr>
            </w:pPr>
          </w:p>
        </w:tc>
        <w:tc>
          <w:tcPr>
            <w:tcW w:w="1031" w:type="dxa"/>
            <w:vMerge w:val="continue"/>
            <w:tcBorders>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实质性响应</w:t>
            </w:r>
          </w:p>
        </w:tc>
        <w:tc>
          <w:tcPr>
            <w:tcW w:w="4898"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hint="eastAsia" w:ascii="Times New Roman" w:hAnsi="Times New Roman"/>
              </w:rPr>
              <w:t>投标内容、</w:t>
            </w:r>
            <w:r>
              <w:rPr>
                <w:rFonts w:hint="eastAsia" w:ascii="Times New Roman" w:hAnsi="Times New Roman"/>
                <w:lang w:val="en-US" w:eastAsia="zh-CN"/>
              </w:rPr>
              <w:t>供货期</w:t>
            </w:r>
            <w:r>
              <w:rPr>
                <w:rFonts w:hint="eastAsia" w:ascii="Times New Roman" w:hAnsi="Times New Roman"/>
              </w:rPr>
              <w:t>、质量标准等实质性响应内容符合招标文件要求（以《投标函及投标函附录》填报的内容进行评审）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22" w:type="dxa"/>
            <w:vMerge w:val="continue"/>
            <w:tcBorders>
              <w:bottom w:val="single" w:color="auto" w:sz="4" w:space="0"/>
              <w:right w:val="single" w:color="auto" w:sz="4" w:space="0"/>
            </w:tcBorders>
            <w:vAlign w:val="center"/>
          </w:tcPr>
          <w:p>
            <w:pPr>
              <w:rPr>
                <w:rFonts w:ascii="Times New Roman" w:hAnsi="Times New Roman"/>
              </w:rPr>
            </w:pPr>
          </w:p>
        </w:tc>
        <w:tc>
          <w:tcPr>
            <w:tcW w:w="1031" w:type="dxa"/>
            <w:vMerge w:val="continue"/>
            <w:tcBorders>
              <w:bottom w:val="single" w:color="auto" w:sz="4" w:space="0"/>
              <w:right w:val="single" w:color="auto" w:sz="4" w:space="0"/>
            </w:tcBorders>
            <w:vAlign w:val="center"/>
          </w:tcPr>
          <w:p>
            <w:pPr>
              <w:rPr>
                <w:rFonts w:ascii="Times New Roman" w:hAnsi="Times New Roman"/>
              </w:rPr>
            </w:pPr>
          </w:p>
        </w:tc>
        <w:tc>
          <w:tcPr>
            <w:tcW w:w="2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其他</w:t>
            </w:r>
          </w:p>
        </w:tc>
        <w:tc>
          <w:tcPr>
            <w:tcW w:w="4898"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hint="eastAsia" w:ascii="Times New Roman" w:hAnsi="Times New Roman"/>
              </w:rPr>
              <w:t>本项不作为评审因素，仅供投标人上传提供的其他资料。</w:t>
            </w:r>
          </w:p>
        </w:tc>
      </w:tr>
    </w:tbl>
    <w:p>
      <w:pPr>
        <w:tabs>
          <w:tab w:val="left" w:pos="0"/>
        </w:tabs>
        <w:spacing w:line="360" w:lineRule="auto"/>
        <w:ind w:firstLine="420" w:firstLineChars="200"/>
        <w:rPr>
          <w:rFonts w:ascii="Times New Roman" w:hAnsi="Times New Roman"/>
        </w:rPr>
      </w:pPr>
      <w:r>
        <w:rPr>
          <w:rFonts w:ascii="Times New Roman" w:hAnsi="Times New Roman"/>
        </w:rPr>
        <w:br w:type="page"/>
      </w:r>
    </w:p>
    <w:tbl>
      <w:tblPr>
        <w:tblStyle w:val="43"/>
        <w:tblpPr w:leftFromText="180" w:rightFromText="180" w:vertAnchor="text" w:horzAnchor="page" w:tblpX="1426" w:tblpY="153"/>
        <w:tblOverlap w:val="never"/>
        <w:tblW w:w="9098" w:type="dxa"/>
        <w:tblCellSpacing w:w="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9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trPr>
        <w:tc>
          <w:tcPr>
            <w:tcW w:w="9098" w:type="dxa"/>
            <w:vAlign w:val="center"/>
          </w:tcPr>
          <w:p>
            <w:pPr>
              <w:pStyle w:val="39"/>
              <w:spacing w:line="560" w:lineRule="exact"/>
              <w:ind w:left="0" w:leftChars="0" w:firstLineChars="1300"/>
              <w:jc w:val="both"/>
              <w:rPr>
                <w:rFonts w:ascii="仿宋" w:hAnsi="仿宋" w:eastAsia="仿宋" w:cs="宋体"/>
                <w:b w:val="0"/>
                <w:bCs w:val="0"/>
                <w:color w:val="auto"/>
                <w:sz w:val="24"/>
                <w:szCs w:val="24"/>
              </w:rPr>
            </w:pPr>
            <w:r>
              <w:rPr>
                <w:rFonts w:hint="default" w:ascii="仿宋" w:hAnsi="仿宋" w:eastAsia="仿宋" w:cs="宋体"/>
                <w:color w:val="auto"/>
                <w:szCs w:val="24"/>
                <w:lang w:val="en-US" w:eastAsia="zh-CN"/>
              </w:rPr>
              <w:t>2.2</w:t>
            </w:r>
            <w:r>
              <w:rPr>
                <w:rFonts w:hint="default" w:ascii="仿宋" w:hAnsi="仿宋" w:eastAsia="仿宋" w:cs="宋体"/>
                <w:b w:val="0"/>
                <w:bCs w:val="0"/>
                <w:color w:val="auto"/>
                <w:sz w:val="24"/>
                <w:szCs w:val="24"/>
              </w:rPr>
              <w:t>评分细则表</w:t>
            </w:r>
          </w:p>
          <w:p>
            <w:pPr>
              <w:pStyle w:val="39"/>
              <w:spacing w:line="560" w:lineRule="exact"/>
              <w:rPr>
                <w:rFonts w:ascii="仿宋" w:hAnsi="仿宋" w:eastAsia="仿宋"/>
                <w:color w:val="auto"/>
                <w:szCs w:val="24"/>
              </w:rPr>
            </w:pPr>
            <w:r>
              <w:rPr>
                <w:rFonts w:ascii="仿宋" w:hAnsi="仿宋" w:eastAsia="仿宋"/>
                <w:color w:val="auto"/>
                <w:szCs w:val="24"/>
              </w:rPr>
              <w:t>综合评分法，是指投标文件满足招标文件全部实质性要求，且按照评审因素的量化指标评审得分最高的</w:t>
            </w:r>
            <w:r>
              <w:rPr>
                <w:rFonts w:hint="eastAsia" w:ascii="仿宋" w:hAnsi="仿宋" w:eastAsia="仿宋"/>
                <w:color w:val="auto"/>
                <w:szCs w:val="24"/>
              </w:rPr>
              <w:t>投标人</w:t>
            </w:r>
            <w:r>
              <w:rPr>
                <w:rFonts w:ascii="仿宋" w:hAnsi="仿宋" w:eastAsia="仿宋"/>
                <w:color w:val="auto"/>
                <w:szCs w:val="24"/>
              </w:rPr>
              <w:t>为中标候选人的评标方法</w:t>
            </w:r>
            <w:r>
              <w:rPr>
                <w:rFonts w:hint="eastAsia" w:ascii="仿宋" w:hAnsi="仿宋" w:eastAsia="仿宋"/>
                <w:color w:val="auto"/>
                <w:szCs w:val="24"/>
              </w:rPr>
              <w:t>。</w:t>
            </w:r>
          </w:p>
          <w:p>
            <w:pPr>
              <w:spacing w:after="60" w:line="560" w:lineRule="exact"/>
              <w:ind w:left="420" w:leftChars="200"/>
              <w:rPr>
                <w:rFonts w:ascii="仿宋" w:hAnsi="仿宋" w:eastAsia="仿宋" w:cs="Times New Roman"/>
                <w:color w:val="auto"/>
                <w:sz w:val="24"/>
                <w:szCs w:val="24"/>
              </w:rPr>
            </w:pPr>
            <w:r>
              <w:rPr>
                <w:rFonts w:hint="eastAsia" w:ascii="仿宋" w:hAnsi="仿宋" w:eastAsia="仿宋" w:cs="Times New Roman"/>
                <w:color w:val="auto"/>
                <w:sz w:val="24"/>
                <w:szCs w:val="24"/>
              </w:rPr>
              <w:t>综合得分=商务部分得分+技术部分得分+价格部分得分</w:t>
            </w:r>
          </w:p>
          <w:p>
            <w:pPr>
              <w:spacing w:after="60" w:line="560" w:lineRule="exact"/>
              <w:ind w:left="420" w:leftChars="200"/>
              <w:rPr>
                <w:rFonts w:ascii="仿宋" w:hAnsi="仿宋" w:eastAsia="仿宋" w:cs="Times New Roman"/>
                <w:color w:val="auto"/>
                <w:sz w:val="24"/>
                <w:szCs w:val="24"/>
              </w:rPr>
            </w:pPr>
            <w:r>
              <w:rPr>
                <w:rFonts w:hint="eastAsia" w:ascii="仿宋" w:hAnsi="仿宋" w:eastAsia="仿宋" w:cs="Times New Roman"/>
                <w:color w:val="auto"/>
                <w:sz w:val="24"/>
                <w:szCs w:val="24"/>
              </w:rPr>
              <w:t>（1）商务部分评分</w:t>
            </w:r>
          </w:p>
          <w:p>
            <w:pPr>
              <w:spacing w:after="60" w:line="560" w:lineRule="exact"/>
              <w:ind w:left="420" w:leftChars="200"/>
              <w:rPr>
                <w:rFonts w:ascii="仿宋" w:hAnsi="仿宋" w:eastAsia="仿宋" w:cs="Times New Roman"/>
                <w:color w:val="auto"/>
                <w:sz w:val="24"/>
                <w:szCs w:val="24"/>
              </w:rPr>
            </w:pPr>
            <w:r>
              <w:rPr>
                <w:rFonts w:hint="eastAsia" w:ascii="仿宋" w:hAnsi="仿宋" w:eastAsia="仿宋" w:cs="Times New Roman"/>
                <w:color w:val="auto"/>
                <w:sz w:val="24"/>
                <w:szCs w:val="24"/>
              </w:rPr>
              <w:t>计算公式：商务部分得分=各评委评分之和/评委人数</w:t>
            </w:r>
          </w:p>
          <w:p>
            <w:pPr>
              <w:spacing w:after="60" w:line="560" w:lineRule="exact"/>
              <w:ind w:left="420" w:leftChars="200"/>
              <w:rPr>
                <w:rFonts w:ascii="仿宋" w:hAnsi="仿宋" w:eastAsia="仿宋" w:cs="Times New Roman"/>
                <w:color w:val="auto"/>
                <w:sz w:val="24"/>
                <w:szCs w:val="24"/>
              </w:rPr>
            </w:pPr>
            <w:r>
              <w:rPr>
                <w:rFonts w:hint="eastAsia" w:ascii="仿宋" w:hAnsi="仿宋" w:eastAsia="仿宋" w:cs="Times New Roman"/>
                <w:color w:val="auto"/>
                <w:sz w:val="24"/>
                <w:szCs w:val="24"/>
              </w:rPr>
              <w:t>（2）技术部分评分</w:t>
            </w:r>
          </w:p>
          <w:p>
            <w:pPr>
              <w:spacing w:after="60" w:line="560" w:lineRule="exact"/>
              <w:ind w:left="420" w:leftChars="200"/>
              <w:rPr>
                <w:rFonts w:ascii="仿宋" w:hAnsi="仿宋" w:eastAsia="仿宋" w:cs="Times New Roman"/>
                <w:color w:val="auto"/>
                <w:sz w:val="24"/>
                <w:szCs w:val="24"/>
              </w:rPr>
            </w:pPr>
            <w:r>
              <w:rPr>
                <w:rFonts w:hint="eastAsia" w:ascii="仿宋" w:hAnsi="仿宋" w:eastAsia="仿宋" w:cs="Times New Roman"/>
                <w:color w:val="auto"/>
                <w:sz w:val="24"/>
                <w:szCs w:val="24"/>
              </w:rPr>
              <w:t>计算公式：技术部分得分=各评委评分之和/评委人数</w:t>
            </w:r>
          </w:p>
          <w:p>
            <w:pPr>
              <w:spacing w:after="60" w:line="560" w:lineRule="exact"/>
              <w:ind w:left="420" w:leftChars="200"/>
              <w:rPr>
                <w:rFonts w:ascii="仿宋" w:hAnsi="仿宋" w:eastAsia="仿宋" w:cs="Times New Roman"/>
                <w:color w:val="auto"/>
                <w:sz w:val="24"/>
                <w:szCs w:val="24"/>
              </w:rPr>
            </w:pPr>
            <w:r>
              <w:rPr>
                <w:rFonts w:hint="eastAsia" w:ascii="仿宋" w:hAnsi="仿宋" w:eastAsia="仿宋" w:cs="Times New Roman"/>
                <w:color w:val="auto"/>
                <w:sz w:val="24"/>
                <w:szCs w:val="24"/>
              </w:rPr>
              <w:t>（3）价格部分评分</w:t>
            </w:r>
          </w:p>
          <w:p>
            <w:pPr>
              <w:keepNext w:val="0"/>
              <w:keepLines w:val="0"/>
              <w:pageBreakBefore w:val="0"/>
              <w:widowControl/>
              <w:kinsoku/>
              <w:wordWrap/>
              <w:overflowPunct/>
              <w:topLinePunct w:val="0"/>
              <w:autoSpaceDE/>
              <w:autoSpaceDN/>
              <w:bidi w:val="0"/>
              <w:adjustRightInd/>
              <w:snapToGrid/>
              <w:spacing w:after="60" w:line="560" w:lineRule="exact"/>
              <w:ind w:left="420" w:leftChars="20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价格分计算方法：采用合理低价法，投标报价处于有效投标人投标报价的算术平均值的92%-95%范围内的，得60分，投标报价在有效投标人投标报价的算术平均值95%的基础上，每高1%，在60分基础上扣2分，扣完为止。投标报价在有效投标人投标报价的算术平均值92%的基础上，每低1%，在60分基础上扣0.5分。按实际得分计算。</w:t>
            </w:r>
          </w:p>
          <w:p>
            <w:pPr>
              <w:spacing w:after="60" w:line="560" w:lineRule="exact"/>
              <w:ind w:left="420" w:leftChars="200"/>
              <w:rPr>
                <w:rFonts w:hint="eastAsia" w:ascii="仿宋" w:hAnsi="仿宋" w:eastAsia="仿宋" w:cs="Times New Roman"/>
                <w:color w:val="auto"/>
                <w:sz w:val="24"/>
                <w:szCs w:val="24"/>
              </w:rPr>
            </w:pPr>
          </w:p>
          <w:p>
            <w:pPr>
              <w:pStyle w:val="39"/>
              <w:spacing w:line="560" w:lineRule="exact"/>
              <w:ind w:firstLine="211"/>
              <w:rPr>
                <w:rFonts w:ascii="仿宋" w:hAnsi="仿宋" w:eastAsia="仿宋"/>
                <w:color w:val="auto"/>
                <w:szCs w:val="24"/>
              </w:rPr>
            </w:pPr>
          </w:p>
        </w:tc>
      </w:tr>
    </w:tbl>
    <w:p>
      <w:pPr>
        <w:snapToGrid/>
        <w:spacing w:line="560" w:lineRule="exact"/>
        <w:ind w:firstLine="480" w:firstLineChars="200"/>
        <w:rPr>
          <w:rFonts w:ascii="仿宋" w:hAnsi="仿宋" w:eastAsia="仿宋" w:cs="Times New Roman"/>
          <w:color w:val="auto"/>
          <w:sz w:val="24"/>
          <w:szCs w:val="24"/>
        </w:rPr>
      </w:pPr>
      <w:r>
        <w:rPr>
          <w:rFonts w:hint="eastAsia" w:ascii="仿宋" w:hAnsi="仿宋" w:eastAsia="仿宋" w:cs="Times New Roman"/>
          <w:color w:val="auto"/>
          <w:sz w:val="24"/>
          <w:szCs w:val="24"/>
        </w:rPr>
        <w:br w:type="page"/>
      </w:r>
    </w:p>
    <w:tbl>
      <w:tblPr>
        <w:tblStyle w:val="43"/>
        <w:tblW w:w="93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9"/>
        <w:gridCol w:w="702"/>
        <w:gridCol w:w="1612"/>
        <w:gridCol w:w="724"/>
        <w:gridCol w:w="56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8" w:hRule="atLeast"/>
          <w:jc w:val="center"/>
        </w:trPr>
        <w:tc>
          <w:tcPr>
            <w:tcW w:w="679"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sz w:val="24"/>
                <w:szCs w:val="24"/>
              </w:rPr>
            </w:pPr>
            <w:r>
              <w:rPr>
                <w:rFonts w:hint="eastAsia" w:ascii="仿宋" w:hAnsi="仿宋" w:eastAsia="仿宋" w:cs="仿宋"/>
                <w:b/>
                <w:bCs/>
                <w:sz w:val="24"/>
                <w:szCs w:val="24"/>
                <w:lang w:bidi="ar"/>
              </w:rPr>
              <w:t>序号</w:t>
            </w:r>
          </w:p>
        </w:tc>
        <w:tc>
          <w:tcPr>
            <w:tcW w:w="3038" w:type="dxa"/>
            <w:gridSpan w:val="3"/>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sz w:val="24"/>
                <w:szCs w:val="24"/>
              </w:rPr>
            </w:pPr>
            <w:r>
              <w:rPr>
                <w:rFonts w:hint="eastAsia" w:ascii="仿宋" w:hAnsi="仿宋" w:eastAsia="仿宋" w:cs="仿宋"/>
                <w:b/>
                <w:bCs/>
                <w:sz w:val="24"/>
                <w:szCs w:val="24"/>
                <w:lang w:bidi="ar"/>
              </w:rPr>
              <w:t>评分项</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sz w:val="24"/>
                <w:szCs w:val="24"/>
              </w:rPr>
            </w:pPr>
            <w:r>
              <w:rPr>
                <w:rFonts w:hint="eastAsia" w:ascii="仿宋" w:hAnsi="仿宋" w:eastAsia="仿宋" w:cs="仿宋"/>
                <w:b/>
                <w:bCs/>
                <w:sz w:val="24"/>
                <w:szCs w:val="24"/>
                <w:lang w:bidi="ar"/>
              </w:rPr>
              <w:t>权重(%)（分值）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restart"/>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color w:val="0000FF"/>
                <w:sz w:val="24"/>
                <w:szCs w:val="24"/>
              </w:rPr>
            </w:pPr>
            <w:r>
              <w:rPr>
                <w:rFonts w:hint="eastAsia" w:ascii="仿宋" w:hAnsi="仿宋" w:eastAsia="仿宋" w:cs="仿宋"/>
                <w:b/>
                <w:bCs/>
                <w:sz w:val="24"/>
                <w:szCs w:val="24"/>
                <w:lang w:bidi="ar"/>
              </w:rPr>
              <w:t>1</w:t>
            </w:r>
          </w:p>
        </w:tc>
        <w:tc>
          <w:tcPr>
            <w:tcW w:w="3038" w:type="dxa"/>
            <w:gridSpan w:val="3"/>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color w:val="0000FF"/>
                <w:sz w:val="24"/>
                <w:szCs w:val="24"/>
              </w:rPr>
            </w:pPr>
            <w:r>
              <w:rPr>
                <w:rFonts w:hint="eastAsia" w:ascii="仿宋" w:hAnsi="仿宋" w:eastAsia="仿宋" w:cs="仿宋"/>
                <w:b/>
                <w:bCs/>
                <w:sz w:val="24"/>
                <w:szCs w:val="24"/>
                <w:lang w:bidi="ar"/>
              </w:rPr>
              <w:t>价格部分</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hint="default" w:ascii="仿宋" w:hAnsi="仿宋" w:eastAsia="仿宋" w:cs="仿宋"/>
                <w:b/>
                <w:bCs/>
                <w:color w:val="0000FF"/>
                <w:sz w:val="24"/>
                <w:szCs w:val="24"/>
                <w:lang w:val="en-US" w:eastAsia="zh-CN"/>
              </w:rPr>
            </w:pPr>
            <w:r>
              <w:rPr>
                <w:rFonts w:hint="eastAsia" w:ascii="仿宋" w:hAnsi="仿宋" w:eastAsia="仿宋" w:cs="仿宋"/>
                <w:b/>
                <w:bCs/>
                <w:sz w:val="24"/>
                <w:szCs w:val="24"/>
                <w:lang w:val="en-US" w:eastAsia="zh-CN" w:bidi="ar"/>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8639" w:type="dxa"/>
            <w:gridSpan w:val="4"/>
            <w:tcBorders>
              <w:top w:val="single" w:color="000000" w:sz="8" w:space="0"/>
              <w:left w:val="single" w:color="000000" w:sz="8" w:space="0"/>
              <w:bottom w:val="single" w:color="000000" w:sz="8" w:space="0"/>
              <w:right w:val="single" w:color="000000" w:sz="8" w:space="0"/>
            </w:tcBorders>
            <w:vAlign w:val="center"/>
          </w:tcPr>
          <w:p>
            <w:pPr>
              <w:spacing w:line="560" w:lineRule="exact"/>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restart"/>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color w:val="0000FF"/>
                <w:sz w:val="24"/>
                <w:szCs w:val="24"/>
              </w:rPr>
            </w:pPr>
            <w:r>
              <w:rPr>
                <w:rFonts w:hint="eastAsia" w:ascii="仿宋" w:hAnsi="仿宋" w:eastAsia="仿宋" w:cs="仿宋"/>
                <w:b/>
                <w:bCs/>
                <w:sz w:val="24"/>
                <w:szCs w:val="24"/>
                <w:lang w:bidi="ar"/>
              </w:rPr>
              <w:t>2</w:t>
            </w:r>
          </w:p>
        </w:tc>
        <w:tc>
          <w:tcPr>
            <w:tcW w:w="3038" w:type="dxa"/>
            <w:gridSpan w:val="3"/>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lang w:bidi="ar"/>
              </w:rPr>
              <w:t>技术部分</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bidi="ar"/>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8639" w:type="dxa"/>
            <w:gridSpan w:val="4"/>
            <w:tcBorders>
              <w:top w:val="single" w:color="000000" w:sz="8" w:space="0"/>
              <w:left w:val="single" w:color="000000" w:sz="8" w:space="0"/>
              <w:bottom w:val="single" w:color="000000" w:sz="8" w:space="0"/>
              <w:right w:val="single" w:color="000000" w:sz="8" w:space="0"/>
            </w:tcBorders>
            <w:vAlign w:val="center"/>
          </w:tcPr>
          <w:p>
            <w:pPr>
              <w:spacing w:line="560" w:lineRule="exact"/>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560" w:lineRule="exact"/>
              <w:jc w:val="center"/>
              <w:rPr>
                <w:rFonts w:ascii="仿宋" w:hAnsi="仿宋" w:eastAsia="仿宋" w:cs="仿宋"/>
                <w:b/>
                <w:bCs/>
                <w:color w:val="0000FF"/>
                <w:sz w:val="24"/>
                <w:szCs w:val="24"/>
              </w:rPr>
            </w:pPr>
          </w:p>
        </w:tc>
        <w:tc>
          <w:tcPr>
            <w:tcW w:w="702" w:type="dxa"/>
            <w:tcBorders>
              <w:top w:val="outset" w:color="000000" w:sz="6" w:space="0"/>
              <w:left w:val="outset" w:color="000000" w:sz="6" w:space="0"/>
              <w:bottom w:val="outset" w:color="000000" w:sz="6" w:space="0"/>
              <w:right w:val="outset" w:color="000000" w:sz="6" w:space="0"/>
            </w:tcBorders>
            <w:shd w:val="clear" w:color="auto" w:fill="DCE6F2"/>
            <w:vAlign w:val="center"/>
          </w:tcPr>
          <w:p>
            <w:pPr>
              <w:spacing w:line="5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序号</w:t>
            </w:r>
          </w:p>
        </w:tc>
        <w:tc>
          <w:tcPr>
            <w:tcW w:w="1612" w:type="dxa"/>
            <w:tcBorders>
              <w:top w:val="outset" w:color="000000" w:sz="6" w:space="0"/>
              <w:left w:val="outset" w:color="000000" w:sz="6" w:space="0"/>
              <w:bottom w:val="outset" w:color="000000" w:sz="6" w:space="0"/>
              <w:right w:val="outset" w:color="000000" w:sz="6" w:space="0"/>
            </w:tcBorders>
            <w:shd w:val="clear" w:color="auto" w:fill="DCE6F2"/>
            <w:vAlign w:val="center"/>
          </w:tcPr>
          <w:p>
            <w:pPr>
              <w:spacing w:line="5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CE6F2"/>
            <w:vAlign w:val="center"/>
          </w:tcPr>
          <w:p>
            <w:pPr>
              <w:spacing w:line="5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分值</w:t>
            </w:r>
          </w:p>
        </w:tc>
        <w:tc>
          <w:tcPr>
            <w:tcW w:w="5601" w:type="dxa"/>
            <w:tcBorders>
              <w:top w:val="outset" w:color="000000" w:sz="6" w:space="0"/>
              <w:left w:val="outset" w:color="000000" w:sz="6" w:space="0"/>
              <w:bottom w:val="outset" w:color="000000" w:sz="6" w:space="0"/>
              <w:right w:val="outset" w:color="000000" w:sz="6" w:space="0"/>
            </w:tcBorders>
            <w:shd w:val="clear" w:color="auto" w:fill="DCE6F2"/>
            <w:vAlign w:val="center"/>
          </w:tcPr>
          <w:p>
            <w:pPr>
              <w:spacing w:line="56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48"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1</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eastAsia" w:ascii="仿宋" w:hAnsi="仿宋" w:eastAsia="仿宋" w:cs="仿宋"/>
                <w:color w:val="auto"/>
                <w:sz w:val="24"/>
                <w:szCs w:val="24"/>
                <w:lang w:eastAsia="zh-CN" w:bidi="ar"/>
              </w:rPr>
            </w:pPr>
            <w:r>
              <w:rPr>
                <w:rFonts w:ascii="仿宋" w:hAnsi="仿宋" w:eastAsia="仿宋" w:cs="仿宋"/>
                <w:color w:val="auto"/>
                <w:sz w:val="24"/>
                <w:szCs w:val="24"/>
                <w:lang w:bidi="ar"/>
              </w:rPr>
              <w:t>药品运输</w:t>
            </w:r>
            <w:r>
              <w:rPr>
                <w:rFonts w:hint="eastAsia" w:ascii="仿宋" w:hAnsi="仿宋" w:eastAsia="仿宋" w:cs="仿宋"/>
                <w:color w:val="auto"/>
                <w:sz w:val="24"/>
                <w:szCs w:val="24"/>
                <w:lang w:val="en-US" w:eastAsia="zh-CN" w:bidi="ar"/>
              </w:rPr>
              <w:t>保障</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4</w:t>
            </w:r>
          </w:p>
        </w:tc>
        <w:tc>
          <w:tcPr>
            <w:tcW w:w="5601" w:type="dxa"/>
            <w:tcBorders>
              <w:top w:val="single" w:color="000000" w:sz="8" w:space="0"/>
              <w:left w:val="single" w:color="000000" w:sz="8" w:space="0"/>
              <w:bottom w:val="single" w:color="000000" w:sz="8" w:space="0"/>
              <w:right w:val="single" w:color="000000" w:sz="8" w:space="0"/>
            </w:tcBorders>
            <w:vAlign w:val="center"/>
          </w:tcPr>
          <w:p>
            <w:pPr>
              <w:numPr>
                <w:ilvl w:val="-1"/>
                <w:numId w:val="0"/>
              </w:numPr>
              <w:spacing w:after="60" w:line="560" w:lineRule="exac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bidi="ar"/>
              </w:rPr>
              <w:t>投标人</w:t>
            </w:r>
            <w:r>
              <w:rPr>
                <w:rFonts w:hint="eastAsia" w:ascii="仿宋" w:hAnsi="仿宋" w:eastAsia="仿宋" w:cs="仿宋"/>
                <w:color w:val="auto"/>
                <w:sz w:val="24"/>
                <w:szCs w:val="24"/>
                <w:lang w:val="en-US" w:eastAsia="zh-CN" w:bidi="ar"/>
              </w:rPr>
              <w:t>自有或长期委托的运输企业（不低于1年）持有有效的</w:t>
            </w:r>
            <w:r>
              <w:rPr>
                <w:rFonts w:hint="eastAsia" w:ascii="仿宋" w:hAnsi="仿宋" w:eastAsia="仿宋" w:cs="仿宋"/>
                <w:snapToGrid w:val="0"/>
                <w:color w:val="auto"/>
                <w:kern w:val="0"/>
                <w:sz w:val="24"/>
                <w:szCs w:val="24"/>
                <w:lang w:val="en-US" w:eastAsia="zh-CN" w:bidi="ar"/>
              </w:rPr>
              <w:t>《中华人民共和国道路运输经营许可证》，其经营范围包含</w:t>
            </w:r>
            <w:r>
              <w:rPr>
                <w:rFonts w:hint="eastAsia" w:ascii="仿宋" w:hAnsi="仿宋" w:eastAsia="仿宋" w:cs="仿宋"/>
                <w:color w:val="auto"/>
                <w:sz w:val="24"/>
                <w:szCs w:val="24"/>
                <w:lang w:val="en-US" w:eastAsia="zh-CN" w:bidi="ar"/>
              </w:rPr>
              <w:t>第5类和第8类</w:t>
            </w:r>
            <w:r>
              <w:rPr>
                <w:rFonts w:hint="eastAsia" w:ascii="仿宋" w:hAnsi="仿宋" w:eastAsia="仿宋" w:cs="仿宋"/>
                <w:color w:val="auto"/>
                <w:sz w:val="24"/>
                <w:szCs w:val="24"/>
                <w:lang w:bidi="ar"/>
              </w:rPr>
              <w:t>危险</w:t>
            </w:r>
            <w:r>
              <w:rPr>
                <w:rFonts w:hint="eastAsia" w:ascii="仿宋" w:hAnsi="仿宋" w:eastAsia="仿宋" w:cs="仿宋"/>
                <w:color w:val="auto"/>
                <w:sz w:val="24"/>
                <w:szCs w:val="24"/>
                <w:lang w:val="en-US" w:eastAsia="zh-CN" w:bidi="ar"/>
              </w:rPr>
              <w:t>货物运输</w:t>
            </w:r>
            <w:r>
              <w:rPr>
                <w:rFonts w:hint="eastAsia" w:ascii="仿宋" w:hAnsi="仿宋" w:eastAsia="仿宋" w:cs="仿宋"/>
                <w:color w:val="auto"/>
                <w:sz w:val="24"/>
                <w:szCs w:val="24"/>
                <w:lang w:bidi="ar"/>
              </w:rPr>
              <w:t>，</w:t>
            </w:r>
            <w:r>
              <w:rPr>
                <w:rFonts w:hint="eastAsia" w:ascii="仿宋" w:hAnsi="仿宋" w:eastAsia="仿宋" w:cs="仿宋"/>
                <w:color w:val="auto"/>
                <w:sz w:val="24"/>
                <w:szCs w:val="24"/>
                <w:lang w:val="en-US" w:eastAsia="zh-CN" w:bidi="ar"/>
              </w:rPr>
              <w:t>提供运输服务的车辆须持有有效的《中华人民共和国道路运输证》，其经营范围须含有第5类和第8类危险货物运输资格，</w:t>
            </w:r>
            <w:r>
              <w:rPr>
                <w:rFonts w:hint="eastAsia" w:ascii="仿宋" w:hAnsi="仿宋" w:eastAsia="仿宋" w:cs="仿宋"/>
                <w:color w:val="auto"/>
                <w:sz w:val="24"/>
                <w:szCs w:val="24"/>
                <w:lang w:bidi="ar"/>
              </w:rPr>
              <w:t>得100%；</w:t>
            </w:r>
            <w:r>
              <w:rPr>
                <w:rFonts w:hint="eastAsia" w:ascii="仿宋" w:hAnsi="仿宋" w:eastAsia="仿宋" w:cs="仿宋"/>
                <w:color w:val="auto"/>
                <w:sz w:val="24"/>
                <w:szCs w:val="24"/>
                <w:lang w:val="en-US" w:eastAsia="zh-CN" w:bidi="ar"/>
              </w:rPr>
              <w:t>否则不得分。</w:t>
            </w:r>
          </w:p>
          <w:p>
            <w:pPr>
              <w:keepNext w:val="0"/>
              <w:keepLines w:val="0"/>
              <w:widowControl/>
              <w:suppressLineNumbers w:val="0"/>
              <w:spacing w:after="60" w:line="560" w:lineRule="exact"/>
              <w:jc w:val="left"/>
              <w:textAlignment w:val="top"/>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证明材料：</w:t>
            </w:r>
          </w:p>
          <w:p>
            <w:pPr>
              <w:keepNext w:val="0"/>
              <w:keepLines w:val="0"/>
              <w:widowControl/>
              <w:suppressLineNumbers w:val="0"/>
              <w:spacing w:after="60" w:line="560" w:lineRule="exact"/>
              <w:jc w:val="left"/>
              <w:textAlignment w:val="top"/>
              <w:rPr>
                <w:rFonts w:hint="eastAsia" w:ascii="仿宋" w:hAnsi="仿宋" w:eastAsia="仿宋" w:cs="仿宋"/>
                <w:color w:val="auto"/>
                <w:sz w:val="24"/>
                <w:szCs w:val="24"/>
                <w:lang w:bidi="ar"/>
              </w:rPr>
            </w:pPr>
            <w:r>
              <w:rPr>
                <w:rFonts w:hint="eastAsia" w:ascii="仿宋" w:hAnsi="仿宋" w:eastAsia="仿宋" w:cs="仿宋"/>
                <w:snapToGrid w:val="0"/>
                <w:color w:val="auto"/>
                <w:kern w:val="0"/>
                <w:sz w:val="24"/>
                <w:szCs w:val="24"/>
                <w:lang w:val="en-US" w:eastAsia="zh-CN" w:bidi="ar"/>
              </w:rPr>
              <w:t>1、运输单位须持有有效的《中华人民共和国道路运输经营许可证》（指运输企业），其经营范围含有第5类和第8类危险货物运输；提供运输服务的车辆须持有有效《中华人民共和国道路运输证》（指车辆），其经营范围含有第8类危险货物运输；</w:t>
            </w:r>
          </w:p>
          <w:p>
            <w:pPr>
              <w:numPr>
                <w:ilvl w:val="-1"/>
                <w:numId w:val="0"/>
              </w:numPr>
              <w:spacing w:after="60" w:line="560" w:lineRule="exac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bidi="ar"/>
              </w:rPr>
              <w:t>提供有效</w:t>
            </w:r>
            <w:r>
              <w:rPr>
                <w:rFonts w:hint="eastAsia" w:ascii="仿宋" w:hAnsi="仿宋" w:eastAsia="仿宋" w:cs="仿宋"/>
                <w:color w:val="auto"/>
                <w:sz w:val="24"/>
                <w:szCs w:val="24"/>
                <w:lang w:val="en-US" w:eastAsia="zh-CN" w:bidi="ar"/>
              </w:rPr>
              <w:t>的《中华人民共和国道路运输证》（运输车辆），投标人须提供有效的长期委托合作协议，委托的运输公司的第5类和第8类危险货物运输量每年不低于1000吨，运输企业须提供第5类和第8类危险货物运输联单。</w:t>
            </w:r>
          </w:p>
          <w:p>
            <w:pPr>
              <w:numPr>
                <w:ilvl w:val="-1"/>
                <w:numId w:val="0"/>
              </w:numPr>
              <w:spacing w:after="60" w:line="560" w:lineRule="exact"/>
              <w:ind w:left="0" w:leftChars="0" w:firstLine="0" w:firstLineChars="0"/>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以上</w:t>
            </w:r>
            <w:r>
              <w:rPr>
                <w:rFonts w:hint="eastAsia" w:ascii="仿宋" w:hAnsi="仿宋" w:eastAsia="仿宋" w:cs="仿宋"/>
                <w:color w:val="auto"/>
                <w:sz w:val="24"/>
                <w:szCs w:val="24"/>
                <w:lang w:bidi="ar"/>
              </w:rPr>
              <w:t>证明材料</w:t>
            </w:r>
            <w:r>
              <w:rPr>
                <w:rFonts w:hint="eastAsia" w:ascii="仿宋" w:hAnsi="仿宋" w:eastAsia="仿宋" w:cs="仿宋"/>
                <w:color w:val="auto"/>
                <w:sz w:val="24"/>
                <w:szCs w:val="24"/>
                <w:lang w:val="en-US" w:eastAsia="zh-CN" w:bidi="ar"/>
              </w:rPr>
              <w:t>须提供</w:t>
            </w:r>
            <w:r>
              <w:rPr>
                <w:rFonts w:hint="eastAsia" w:ascii="仿宋" w:hAnsi="仿宋" w:eastAsia="仿宋" w:cs="仿宋"/>
                <w:color w:val="auto"/>
                <w:sz w:val="24"/>
                <w:szCs w:val="24"/>
                <w:lang w:bidi="ar"/>
              </w:rPr>
              <w:t>扫描件，</w:t>
            </w:r>
            <w:r>
              <w:rPr>
                <w:rFonts w:hint="eastAsia" w:ascii="仿宋" w:hAnsi="仿宋" w:eastAsia="仿宋" w:cs="仿宋"/>
                <w:color w:val="auto"/>
                <w:sz w:val="24"/>
                <w:szCs w:val="24"/>
                <w:lang w:val="en-US" w:eastAsia="zh-CN" w:bidi="ar"/>
              </w:rPr>
              <w:t>原件备查，</w:t>
            </w:r>
            <w:r>
              <w:rPr>
                <w:rFonts w:hint="eastAsia" w:ascii="仿宋" w:hAnsi="仿宋" w:eastAsia="仿宋" w:cs="仿宋"/>
                <w:color w:val="auto"/>
                <w:sz w:val="24"/>
                <w:szCs w:val="24"/>
                <w:lang w:bidi="ar"/>
              </w:rPr>
              <w:t>未提供或无法判断的不得分。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13"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2</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实施方案</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6</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项目实施方案（包括货源保障、配送组织计划、存储及运输保障、验收措施），评价实施方案的针对性、合理性、可行性及全面性，是否考虑了</w:t>
            </w:r>
            <w:r>
              <w:rPr>
                <w:rFonts w:hint="eastAsia" w:ascii="仿宋" w:hAnsi="仿宋" w:eastAsia="仿宋" w:cs="仿宋"/>
                <w:color w:val="auto"/>
                <w:sz w:val="24"/>
                <w:szCs w:val="24"/>
                <w:lang w:val="en-US" w:eastAsia="zh-CN" w:bidi="ar"/>
              </w:rPr>
              <w:t>招标</w:t>
            </w:r>
            <w:r>
              <w:rPr>
                <w:rFonts w:hint="eastAsia" w:ascii="仿宋" w:hAnsi="仿宋" w:eastAsia="仿宋" w:cs="仿宋"/>
                <w:color w:val="auto"/>
                <w:sz w:val="24"/>
                <w:szCs w:val="24"/>
                <w:lang w:bidi="ar"/>
              </w:rPr>
              <w:t>人日常运营的污水处理要求。</w:t>
            </w:r>
          </w:p>
          <w:p>
            <w:pPr>
              <w:numPr>
                <w:ilvl w:val="0"/>
                <w:numId w:val="2"/>
              </w:num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方案具体、详细、合理，有利于项目实施，评价为优得100%；</w:t>
            </w:r>
          </w:p>
          <w:p>
            <w:pPr>
              <w:numPr>
                <w:ilvl w:val="0"/>
                <w:numId w:val="2"/>
              </w:num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方案较为具体、可行，评价为良得75%；</w:t>
            </w:r>
          </w:p>
          <w:p>
            <w:pPr>
              <w:numPr>
                <w:ilvl w:val="0"/>
                <w:numId w:val="2"/>
              </w:num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方案较为具体，评价为一般得50%；</w:t>
            </w:r>
          </w:p>
          <w:p>
            <w:pPr>
              <w:numPr>
                <w:ilvl w:val="0"/>
                <w:numId w:val="2"/>
              </w:num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方案不具体，不具操作性，评价为差得0%。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9"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3</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应急供货</w:t>
            </w:r>
            <w:r>
              <w:rPr>
                <w:rFonts w:hint="eastAsia" w:ascii="仿宋" w:hAnsi="仿宋" w:eastAsia="仿宋" w:cs="仿宋"/>
                <w:color w:val="auto"/>
                <w:sz w:val="24"/>
                <w:szCs w:val="24"/>
                <w:lang w:val="en-US" w:eastAsia="zh-CN" w:bidi="ar"/>
              </w:rPr>
              <w:t>保障</w:t>
            </w:r>
            <w:r>
              <w:rPr>
                <w:rFonts w:hint="eastAsia" w:ascii="仿宋" w:hAnsi="仿宋" w:eastAsia="仿宋" w:cs="仿宋"/>
                <w:color w:val="auto"/>
                <w:sz w:val="24"/>
                <w:szCs w:val="24"/>
                <w:lang w:bidi="ar"/>
              </w:rPr>
              <w:t>方案</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eastAsia" w:ascii="仿宋" w:hAnsi="仿宋" w:eastAsia="仿宋" w:cs="仿宋"/>
                <w:color w:val="auto"/>
                <w:lang w:eastAsia="zh-CN"/>
              </w:rPr>
            </w:pPr>
            <w:r>
              <w:rPr>
                <w:rFonts w:hint="eastAsia" w:ascii="仿宋" w:hAnsi="仿宋" w:eastAsia="仿宋" w:cs="仿宋"/>
                <w:color w:val="auto"/>
                <w:lang w:val="en-US" w:eastAsia="zh-CN"/>
              </w:rPr>
              <w:t>4</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1、应急供货</w:t>
            </w:r>
            <w:r>
              <w:rPr>
                <w:rFonts w:hint="eastAsia" w:ascii="仿宋" w:hAnsi="仿宋" w:eastAsia="仿宋" w:cs="仿宋"/>
                <w:color w:val="auto"/>
                <w:sz w:val="24"/>
                <w:szCs w:val="24"/>
                <w:lang w:val="en-US" w:eastAsia="zh-CN" w:bidi="ar"/>
              </w:rPr>
              <w:t>保障</w:t>
            </w:r>
            <w:r>
              <w:rPr>
                <w:rFonts w:hint="eastAsia" w:ascii="仿宋" w:hAnsi="仿宋" w:eastAsia="仿宋" w:cs="仿宋"/>
                <w:color w:val="auto"/>
                <w:sz w:val="24"/>
                <w:szCs w:val="24"/>
                <w:lang w:bidi="ar"/>
              </w:rPr>
              <w:t>方案内容全面、具体、合理，评价为优得100%；</w:t>
            </w:r>
          </w:p>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2、应急供货</w:t>
            </w:r>
            <w:r>
              <w:rPr>
                <w:rFonts w:hint="eastAsia" w:ascii="仿宋" w:hAnsi="仿宋" w:eastAsia="仿宋" w:cs="仿宋"/>
                <w:color w:val="auto"/>
                <w:sz w:val="24"/>
                <w:szCs w:val="24"/>
                <w:lang w:val="en-US" w:eastAsia="zh-CN" w:bidi="ar"/>
              </w:rPr>
              <w:t>保障</w:t>
            </w:r>
            <w:r>
              <w:rPr>
                <w:rFonts w:hint="eastAsia" w:ascii="仿宋" w:hAnsi="仿宋" w:eastAsia="仿宋" w:cs="仿宋"/>
                <w:color w:val="auto"/>
                <w:sz w:val="24"/>
                <w:szCs w:val="24"/>
                <w:lang w:bidi="ar"/>
              </w:rPr>
              <w:t xml:space="preserve">方案内容较为齐全、具体、可行，评价为良得75%； </w:t>
            </w:r>
          </w:p>
          <w:p>
            <w:pPr>
              <w:spacing w:after="60" w:line="560" w:lineRule="exact"/>
              <w:textAlignment w:val="top"/>
              <w:rPr>
                <w:rFonts w:ascii="仿宋" w:hAnsi="仿宋" w:eastAsia="仿宋" w:cs="仿宋"/>
                <w:color w:val="auto"/>
                <w:sz w:val="24"/>
                <w:szCs w:val="24"/>
                <w:lang w:bidi="ar"/>
              </w:rPr>
            </w:pPr>
            <w:r>
              <w:rPr>
                <w:rFonts w:ascii="仿宋" w:hAnsi="仿宋" w:eastAsia="仿宋" w:cs="仿宋"/>
                <w:color w:val="auto"/>
                <w:sz w:val="24"/>
                <w:szCs w:val="24"/>
                <w:lang w:bidi="ar"/>
              </w:rPr>
              <w:t>3、</w:t>
            </w:r>
            <w:r>
              <w:rPr>
                <w:rFonts w:hint="eastAsia" w:ascii="仿宋" w:hAnsi="仿宋" w:eastAsia="仿宋" w:cs="仿宋"/>
                <w:color w:val="auto"/>
                <w:sz w:val="24"/>
                <w:szCs w:val="24"/>
                <w:lang w:bidi="ar"/>
              </w:rPr>
              <w:t>应急供货</w:t>
            </w:r>
            <w:r>
              <w:rPr>
                <w:rFonts w:hint="eastAsia" w:ascii="仿宋" w:hAnsi="仿宋" w:eastAsia="仿宋" w:cs="仿宋"/>
                <w:color w:val="auto"/>
                <w:sz w:val="24"/>
                <w:szCs w:val="24"/>
                <w:lang w:val="en-US" w:eastAsia="zh-CN" w:bidi="ar"/>
              </w:rPr>
              <w:t>保障</w:t>
            </w:r>
            <w:r>
              <w:rPr>
                <w:rFonts w:hint="eastAsia" w:ascii="仿宋" w:hAnsi="仿宋" w:eastAsia="仿宋" w:cs="仿宋"/>
                <w:color w:val="auto"/>
                <w:sz w:val="24"/>
                <w:szCs w:val="24"/>
                <w:lang w:bidi="ar"/>
              </w:rPr>
              <w:t xml:space="preserve">方案内容基本齐全、可行，评价为一般得50%； </w:t>
            </w:r>
          </w:p>
          <w:p>
            <w:pPr>
              <w:spacing w:after="60" w:line="560" w:lineRule="exact"/>
              <w:textAlignment w:val="top"/>
              <w:rPr>
                <w:rFonts w:ascii="仿宋" w:hAnsi="仿宋" w:eastAsia="仿宋" w:cs="仿宋"/>
                <w:color w:val="auto"/>
                <w:sz w:val="24"/>
                <w:szCs w:val="24"/>
                <w:lang w:bidi="ar"/>
              </w:rPr>
            </w:pPr>
            <w:r>
              <w:rPr>
                <w:rFonts w:ascii="仿宋" w:hAnsi="仿宋" w:eastAsia="仿宋" w:cs="仿宋"/>
                <w:color w:val="auto"/>
                <w:sz w:val="24"/>
                <w:szCs w:val="24"/>
                <w:lang w:bidi="ar"/>
              </w:rPr>
              <w:t>4、</w:t>
            </w:r>
            <w:r>
              <w:rPr>
                <w:rFonts w:hint="eastAsia" w:ascii="仿宋" w:hAnsi="仿宋" w:eastAsia="仿宋" w:cs="仿宋"/>
                <w:color w:val="auto"/>
                <w:sz w:val="24"/>
                <w:szCs w:val="24"/>
                <w:lang w:bidi="ar"/>
              </w:rPr>
              <w:t>应急供货</w:t>
            </w:r>
            <w:r>
              <w:rPr>
                <w:rFonts w:hint="eastAsia" w:ascii="仿宋" w:hAnsi="仿宋" w:eastAsia="仿宋" w:cs="仿宋"/>
                <w:color w:val="auto"/>
                <w:sz w:val="24"/>
                <w:szCs w:val="24"/>
                <w:lang w:val="en-US" w:eastAsia="zh-CN" w:bidi="ar"/>
              </w:rPr>
              <w:t>保障</w:t>
            </w:r>
            <w:r>
              <w:rPr>
                <w:rFonts w:hint="eastAsia" w:ascii="仿宋" w:hAnsi="仿宋" w:eastAsia="仿宋" w:cs="仿宋"/>
                <w:color w:val="auto"/>
                <w:sz w:val="24"/>
                <w:szCs w:val="24"/>
                <w:lang w:bidi="ar"/>
              </w:rPr>
              <w:t xml:space="preserve">方案内容不齐全、不具体，没有操作性，评价为差得0%。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23" w:hRule="atLeast"/>
          <w:jc w:val="center"/>
        </w:trPr>
        <w:tc>
          <w:tcPr>
            <w:tcW w:w="679"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4</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bidi="ar"/>
              </w:rPr>
              <w:t>产品质量</w:t>
            </w:r>
            <w:r>
              <w:rPr>
                <w:rFonts w:hint="eastAsia" w:ascii="仿宋" w:hAnsi="仿宋" w:eastAsia="仿宋" w:cs="仿宋"/>
                <w:color w:val="auto"/>
                <w:sz w:val="24"/>
                <w:szCs w:val="24"/>
                <w:lang w:val="en-US" w:eastAsia="zh-CN" w:bidi="ar"/>
              </w:rPr>
              <w:t>说明</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default" w:ascii="仿宋" w:hAnsi="仿宋" w:eastAsia="仿宋" w:cs="仿宋"/>
                <w:color w:val="auto"/>
                <w:lang w:val="en-US" w:eastAsia="zh-CN"/>
              </w:rPr>
            </w:pPr>
            <w:r>
              <w:rPr>
                <w:rFonts w:hint="eastAsia" w:ascii="仿宋" w:hAnsi="仿宋" w:eastAsia="仿宋" w:cs="仿宋"/>
                <w:color w:val="auto"/>
                <w:lang w:val="en-US" w:eastAsia="zh-CN"/>
              </w:rPr>
              <w:t>6</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投标人提供</w:t>
            </w:r>
            <w:r>
              <w:rPr>
                <w:rFonts w:hint="eastAsia" w:ascii="仿宋" w:hAnsi="仿宋" w:eastAsia="仿宋" w:cs="仿宋"/>
                <w:color w:val="auto"/>
                <w:sz w:val="24"/>
                <w:szCs w:val="24"/>
                <w:lang w:val="en-US" w:eastAsia="zh-CN" w:bidi="ar"/>
              </w:rPr>
              <w:t>所投药剂产品合格证(含厂家名称），</w:t>
            </w:r>
            <w:r>
              <w:rPr>
                <w:rFonts w:hint="eastAsia" w:ascii="仿宋" w:hAnsi="仿宋" w:eastAsia="仿宋" w:cs="仿宋"/>
                <w:color w:val="auto"/>
                <w:sz w:val="24"/>
                <w:szCs w:val="24"/>
                <w:lang w:bidi="ar"/>
              </w:rPr>
              <w:t>近6个月内（以投标截止时间计）</w:t>
            </w:r>
            <w:r>
              <w:rPr>
                <w:rFonts w:hint="eastAsia" w:ascii="仿宋" w:hAnsi="仿宋" w:eastAsia="仿宋" w:cs="仿宋"/>
                <w:color w:val="auto"/>
                <w:sz w:val="24"/>
                <w:szCs w:val="24"/>
                <w:lang w:val="en-US" w:eastAsia="zh-CN" w:bidi="ar"/>
              </w:rPr>
              <w:t>投标人委托</w:t>
            </w:r>
            <w:r>
              <w:rPr>
                <w:rFonts w:hint="eastAsia" w:ascii="仿宋" w:hAnsi="仿宋" w:eastAsia="仿宋" w:cs="仿宋"/>
                <w:color w:val="auto"/>
                <w:sz w:val="24"/>
                <w:szCs w:val="24"/>
                <w:lang w:bidi="ar"/>
              </w:rPr>
              <w:t>第三方检测机构出具的检测报告</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CMA</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，检测产品为32%液碱、片碱、硫酸亚铁（固体）、27.5% 双氧水、10%次氯酸钠、聚合氯化铝（固体）</w:t>
            </w:r>
            <w:r>
              <w:rPr>
                <w:rFonts w:hint="eastAsia" w:ascii="仿宋" w:hAnsi="仿宋" w:eastAsia="仿宋" w:cs="仿宋"/>
                <w:color w:val="auto"/>
                <w:sz w:val="24"/>
                <w:szCs w:val="24"/>
                <w:lang w:eastAsia="zh-CN" w:bidi="ar"/>
              </w:rPr>
              <w:t>、</w:t>
            </w:r>
            <w:r>
              <w:rPr>
                <w:rFonts w:hint="eastAsia" w:ascii="仿宋" w:hAnsi="仿宋" w:eastAsia="仿宋" w:cs="仿宋"/>
                <w:i w:val="0"/>
                <w:iCs w:val="0"/>
                <w:snapToGrid w:val="0"/>
                <w:color w:val="auto"/>
                <w:kern w:val="0"/>
                <w:sz w:val="24"/>
                <w:szCs w:val="24"/>
                <w:u w:val="none"/>
                <w:lang w:val="en-US" w:eastAsia="zh-CN" w:bidi="ar"/>
              </w:rPr>
              <w:t>50%工业硫酸</w:t>
            </w:r>
            <w:r>
              <w:rPr>
                <w:rFonts w:hint="eastAsia" w:ascii="仿宋" w:hAnsi="仿宋" w:eastAsia="仿宋" w:cs="仿宋"/>
                <w:color w:val="auto"/>
                <w:sz w:val="24"/>
                <w:szCs w:val="24"/>
                <w:lang w:bidi="ar"/>
              </w:rPr>
              <w:t>、硫化钠（固体）、亚硫酸氢钠（固体）要求检测结果全部符合要求，提供每一项化学品</w:t>
            </w:r>
            <w:r>
              <w:rPr>
                <w:rFonts w:hint="eastAsia" w:ascii="仿宋" w:hAnsi="仿宋" w:eastAsia="仿宋" w:cs="仿宋"/>
                <w:color w:val="auto"/>
                <w:sz w:val="24"/>
                <w:szCs w:val="24"/>
                <w:lang w:val="en-US" w:eastAsia="zh-CN" w:bidi="ar"/>
              </w:rPr>
              <w:t>产品合格证及</w:t>
            </w:r>
            <w:r>
              <w:rPr>
                <w:rFonts w:hint="eastAsia" w:ascii="仿宋" w:hAnsi="仿宋" w:eastAsia="仿宋" w:cs="仿宋"/>
                <w:color w:val="auto"/>
                <w:sz w:val="24"/>
                <w:szCs w:val="24"/>
                <w:lang w:bidi="ar"/>
              </w:rPr>
              <w:t>检验报告得</w:t>
            </w:r>
            <w:r>
              <w:rPr>
                <w:rFonts w:hint="default" w:ascii="仿宋" w:hAnsi="仿宋" w:eastAsia="仿宋" w:cs="仿宋"/>
                <w:color w:val="auto"/>
                <w:sz w:val="24"/>
                <w:szCs w:val="24"/>
                <w:lang w:val="en-US" w:eastAsia="zh-CN" w:bidi="ar"/>
              </w:rPr>
              <w:t>12</w:t>
            </w:r>
            <w:r>
              <w:rPr>
                <w:rFonts w:hint="eastAsia" w:ascii="仿宋" w:hAnsi="仿宋" w:eastAsia="仿宋" w:cs="仿宋"/>
                <w:color w:val="auto"/>
                <w:sz w:val="24"/>
                <w:szCs w:val="24"/>
                <w:lang w:bidi="ar"/>
              </w:rPr>
              <w:t xml:space="preserve">%，最高得100%（同一种化学品的检验报告只计分一次，检测报告货物品牌需与后续供货品牌一致）。 </w:t>
            </w:r>
          </w:p>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注:须提供</w:t>
            </w:r>
            <w:r>
              <w:rPr>
                <w:rFonts w:hint="eastAsia" w:ascii="仿宋" w:hAnsi="仿宋" w:eastAsia="仿宋" w:cs="仿宋"/>
                <w:color w:val="auto"/>
                <w:sz w:val="24"/>
                <w:szCs w:val="24"/>
                <w:lang w:val="en-US" w:eastAsia="zh-CN" w:bidi="ar"/>
              </w:rPr>
              <w:t>产品合格证、</w:t>
            </w:r>
            <w:r>
              <w:rPr>
                <w:rFonts w:hint="eastAsia" w:ascii="仿宋" w:hAnsi="仿宋" w:eastAsia="仿宋" w:cs="仿宋"/>
                <w:color w:val="auto"/>
                <w:sz w:val="24"/>
                <w:szCs w:val="24"/>
                <w:lang w:bidi="ar"/>
              </w:rPr>
              <w:t xml:space="preserve">检测报告复印件并加盖公章，否则不得分。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restart"/>
            <w:tcBorders>
              <w:top w:val="single" w:color="000000" w:sz="8" w:space="0"/>
              <w:left w:val="single" w:color="000000" w:sz="8" w:space="0"/>
              <w:right w:val="single" w:color="000000" w:sz="8" w:space="0"/>
            </w:tcBorders>
            <w:vAlign w:val="center"/>
          </w:tcPr>
          <w:p>
            <w:pPr>
              <w:spacing w:line="560" w:lineRule="exact"/>
              <w:jc w:val="center"/>
              <w:textAlignment w:val="center"/>
              <w:rPr>
                <w:rFonts w:ascii="仿宋" w:hAnsi="仿宋" w:eastAsia="仿宋" w:cs="仿宋"/>
                <w:b/>
                <w:bCs/>
                <w:color w:val="0000FF"/>
                <w:sz w:val="24"/>
                <w:szCs w:val="24"/>
              </w:rPr>
            </w:pPr>
            <w:r>
              <w:rPr>
                <w:rFonts w:hint="eastAsia" w:ascii="仿宋" w:hAnsi="仿宋" w:eastAsia="仿宋" w:cs="仿宋"/>
                <w:b/>
                <w:bCs/>
                <w:sz w:val="24"/>
                <w:szCs w:val="24"/>
                <w:lang w:bidi="ar"/>
              </w:rPr>
              <w:t>3</w:t>
            </w:r>
          </w:p>
        </w:tc>
        <w:tc>
          <w:tcPr>
            <w:tcW w:w="3038" w:type="dxa"/>
            <w:gridSpan w:val="3"/>
            <w:tcBorders>
              <w:top w:val="outset" w:color="000000" w:sz="6" w:space="0"/>
              <w:left w:val="outset" w:color="000000" w:sz="6" w:space="0"/>
              <w:bottom w:val="outset" w:color="000000" w:sz="6" w:space="0"/>
              <w:right w:val="outset" w:color="000000" w:sz="6" w:space="0"/>
            </w:tcBorders>
            <w:vAlign w:val="center"/>
          </w:tcPr>
          <w:p>
            <w:pPr>
              <w:spacing w:line="560" w:lineRule="exact"/>
              <w:jc w:val="center"/>
              <w:textAlignment w:val="center"/>
              <w:rPr>
                <w:rFonts w:ascii="仿宋" w:hAnsi="仿宋" w:eastAsia="仿宋" w:cs="仿宋"/>
                <w:color w:val="auto"/>
                <w:sz w:val="24"/>
                <w:szCs w:val="24"/>
                <w:lang w:bidi="ar"/>
              </w:rPr>
            </w:pPr>
            <w:r>
              <w:rPr>
                <w:rFonts w:hint="eastAsia" w:ascii="仿宋" w:hAnsi="仿宋" w:eastAsia="仿宋" w:cs="仿宋"/>
                <w:b/>
                <w:bCs/>
                <w:color w:val="auto"/>
                <w:sz w:val="24"/>
                <w:szCs w:val="24"/>
                <w:lang w:bidi="ar"/>
              </w:rPr>
              <w:t>商务部分</w:t>
            </w:r>
          </w:p>
        </w:tc>
        <w:tc>
          <w:tcPr>
            <w:tcW w:w="5601" w:type="dxa"/>
            <w:tcBorders>
              <w:top w:val="outset" w:color="000000" w:sz="6" w:space="0"/>
              <w:left w:val="outset" w:color="000000" w:sz="6" w:space="0"/>
              <w:bottom w:val="outset" w:color="000000" w:sz="6" w:space="0"/>
              <w:right w:val="outset" w:color="000000" w:sz="6" w:space="0"/>
            </w:tcBorders>
            <w:vAlign w:val="center"/>
          </w:tcPr>
          <w:p>
            <w:pPr>
              <w:spacing w:line="560" w:lineRule="exact"/>
              <w:jc w:val="center"/>
              <w:textAlignment w:val="center"/>
              <w:rPr>
                <w:rFonts w:hint="default" w:ascii="仿宋" w:hAnsi="仿宋" w:eastAsia="仿宋" w:cs="仿宋"/>
                <w:color w:val="auto"/>
                <w:sz w:val="24"/>
                <w:szCs w:val="24"/>
                <w:lang w:val="en-US" w:eastAsia="zh-CN" w:bidi="ar"/>
              </w:rPr>
            </w:pPr>
            <w:r>
              <w:rPr>
                <w:rFonts w:hint="eastAsia" w:ascii="仿宋" w:hAnsi="仿宋" w:eastAsia="仿宋" w:cs="仿宋"/>
                <w:b/>
                <w:bCs/>
                <w:color w:val="auto"/>
                <w:sz w:val="24"/>
                <w:szCs w:val="24"/>
                <w:lang w:val="en-US" w:eastAsia="zh-CN" w:bidi="ar"/>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8639" w:type="dxa"/>
            <w:gridSpan w:val="4"/>
            <w:tcBorders>
              <w:top w:val="single" w:color="000000" w:sz="8" w:space="0"/>
              <w:left w:val="single" w:color="000000" w:sz="8" w:space="0"/>
              <w:bottom w:val="single" w:color="000000" w:sz="8" w:space="0"/>
              <w:right w:val="single" w:color="000000" w:sz="8" w:space="0"/>
            </w:tcBorders>
            <w:vAlign w:val="center"/>
          </w:tcPr>
          <w:p>
            <w:pPr>
              <w:spacing w:line="560" w:lineRule="exact"/>
              <w:rPr>
                <w:rFonts w:ascii="仿宋" w:hAnsi="仿宋" w:eastAsia="仿宋" w:cs="仿宋"/>
                <w:color w:val="auto"/>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color w:val="auto"/>
                <w:sz w:val="24"/>
                <w:szCs w:val="24"/>
                <w:lang w:bidi="ar"/>
              </w:rPr>
            </w:pPr>
            <w:r>
              <w:rPr>
                <w:rFonts w:hint="eastAsia" w:ascii="仿宋" w:hAnsi="仿宋" w:eastAsia="仿宋" w:cs="仿宋"/>
                <w:color w:val="auto"/>
                <w:sz w:val="24"/>
                <w:szCs w:val="24"/>
                <w:lang w:bidi="ar"/>
              </w:rPr>
              <w:t>序号</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color w:val="auto"/>
                <w:sz w:val="24"/>
                <w:szCs w:val="24"/>
                <w:lang w:bidi="ar"/>
              </w:rPr>
            </w:pPr>
            <w:r>
              <w:rPr>
                <w:rFonts w:hint="eastAsia" w:ascii="仿宋" w:hAnsi="仿宋" w:eastAsia="仿宋" w:cs="仿宋"/>
                <w:color w:val="auto"/>
                <w:sz w:val="24"/>
                <w:szCs w:val="24"/>
                <w:lang w:bidi="ar"/>
              </w:rPr>
              <w:t>评分因素</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color w:val="auto"/>
              </w:rPr>
            </w:pPr>
            <w:r>
              <w:rPr>
                <w:rFonts w:hint="eastAsia" w:ascii="仿宋" w:hAnsi="仿宋" w:eastAsia="仿宋" w:cs="仿宋"/>
                <w:color w:val="auto"/>
                <w:sz w:val="24"/>
                <w:szCs w:val="24"/>
                <w:lang w:bidi="ar"/>
              </w:rPr>
              <w:t>分值</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center"/>
              <w:rPr>
                <w:rFonts w:ascii="仿宋" w:hAnsi="仿宋" w:eastAsia="仿宋" w:cs="仿宋"/>
                <w:color w:val="auto"/>
              </w:rPr>
            </w:pPr>
            <w:r>
              <w:rPr>
                <w:rFonts w:hint="eastAsia" w:ascii="仿宋" w:hAnsi="仿宋" w:eastAsia="仿宋" w:cs="仿宋"/>
                <w:color w:val="auto"/>
                <w:sz w:val="24"/>
                <w:szCs w:val="24"/>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2"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1</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bidi="ar"/>
              </w:rPr>
              <w:t>投标人纳税信用等级</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2</w:t>
            </w:r>
          </w:p>
        </w:tc>
        <w:tc>
          <w:tcPr>
            <w:tcW w:w="5601" w:type="dxa"/>
            <w:tcBorders>
              <w:top w:val="single" w:color="000000" w:sz="8" w:space="0"/>
              <w:left w:val="single" w:color="000000" w:sz="8" w:space="0"/>
              <w:bottom w:val="single" w:color="000000" w:sz="8" w:space="0"/>
              <w:right w:val="single" w:color="000000" w:sz="8" w:space="0"/>
            </w:tcBorders>
            <w:vAlign w:val="center"/>
          </w:tcPr>
          <w:p>
            <w:pPr>
              <w:numPr>
                <w:ilvl w:val="0"/>
                <w:numId w:val="3"/>
              </w:numPr>
              <w:spacing w:after="60" w:line="560" w:lineRule="exac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bidi="ar"/>
              </w:rPr>
              <w:t>投标人</w:t>
            </w:r>
            <w:r>
              <w:rPr>
                <w:rFonts w:hint="eastAsia" w:ascii="仿宋" w:hAnsi="仿宋" w:eastAsia="仿宋" w:cs="仿宋"/>
                <w:color w:val="auto"/>
                <w:sz w:val="24"/>
                <w:szCs w:val="24"/>
                <w:lang w:val="en-US" w:eastAsia="zh-CN" w:bidi="ar"/>
              </w:rPr>
              <w:t>2024年度的</w:t>
            </w:r>
            <w:r>
              <w:rPr>
                <w:rFonts w:hint="eastAsia" w:ascii="仿宋" w:hAnsi="仿宋" w:eastAsia="仿宋" w:cs="仿宋"/>
                <w:color w:val="auto"/>
                <w:sz w:val="24"/>
                <w:szCs w:val="24"/>
                <w:lang w:bidi="ar"/>
              </w:rPr>
              <w:t>纳税信用等级</w:t>
            </w:r>
            <w:r>
              <w:rPr>
                <w:rFonts w:hint="eastAsia" w:ascii="仿宋" w:hAnsi="仿宋" w:eastAsia="仿宋" w:cs="仿宋"/>
                <w:color w:val="auto"/>
                <w:sz w:val="24"/>
                <w:szCs w:val="24"/>
                <w:lang w:val="en-US" w:eastAsia="zh-CN" w:bidi="ar"/>
              </w:rPr>
              <w:t>为</w:t>
            </w:r>
            <w:r>
              <w:rPr>
                <w:rFonts w:hint="eastAsia" w:ascii="仿宋" w:hAnsi="仿宋" w:eastAsia="仿宋" w:cs="仿宋"/>
                <w:color w:val="auto"/>
                <w:sz w:val="24"/>
                <w:szCs w:val="24"/>
                <w:lang w:bidi="ar"/>
              </w:rPr>
              <w:t>A 级</w:t>
            </w:r>
            <w:r>
              <w:rPr>
                <w:rFonts w:hint="eastAsia" w:ascii="仿宋" w:hAnsi="仿宋" w:eastAsia="仿宋" w:cs="仿宋"/>
                <w:color w:val="auto"/>
                <w:sz w:val="24"/>
                <w:szCs w:val="24"/>
                <w:lang w:val="en-US" w:eastAsia="zh-CN" w:bidi="ar"/>
              </w:rPr>
              <w:t>的得20%；</w:t>
            </w:r>
          </w:p>
          <w:p>
            <w:pPr>
              <w:numPr>
                <w:ilvl w:val="-1"/>
                <w:numId w:val="0"/>
              </w:numPr>
              <w:spacing w:after="60" w:line="560" w:lineRule="exact"/>
              <w:textAlignment w:val="top"/>
              <w:rPr>
                <w:rFonts w:hint="eastAsia"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2、投标人2022-2024年度中，三年的净利润均为正得80%；两年的净利润均为正得50%；一年的净利润均正得20%</w:t>
            </w:r>
            <w:r>
              <w:rPr>
                <w:rFonts w:hint="eastAsia" w:ascii="仿宋" w:hAnsi="仿宋" w:eastAsia="仿宋" w:cs="仿宋"/>
                <w:color w:val="auto"/>
                <w:sz w:val="24"/>
                <w:szCs w:val="24"/>
                <w:lang w:bidi="ar"/>
              </w:rPr>
              <w:t xml:space="preserve">。      </w:t>
            </w:r>
          </w:p>
          <w:p>
            <w:pPr>
              <w:spacing w:after="60" w:line="560" w:lineRule="exact"/>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bidi="ar"/>
              </w:rPr>
              <w:t>注:提供2024年纳税信用等级</w:t>
            </w:r>
            <w:r>
              <w:rPr>
                <w:rFonts w:hint="eastAsia" w:ascii="仿宋" w:hAnsi="仿宋" w:eastAsia="仿宋" w:cs="仿宋"/>
                <w:color w:val="auto"/>
                <w:sz w:val="24"/>
                <w:szCs w:val="24"/>
                <w:lang w:val="en-US" w:eastAsia="zh-CN" w:bidi="ar"/>
              </w:rPr>
              <w:t>截图或其他证明材料，以及</w:t>
            </w:r>
            <w:r>
              <w:rPr>
                <w:rFonts w:hint="eastAsia" w:ascii="仿宋" w:hAnsi="仿宋" w:eastAsia="仿宋" w:cs="仿宋"/>
                <w:color w:val="auto"/>
                <w:sz w:val="24"/>
                <w:szCs w:val="24"/>
                <w:lang w:bidi="ar"/>
              </w:rPr>
              <w:t>2022年至2024年财务审计报告扫描件(包括但不限于审计报告、资产负债表利润表、现金流量表和审计机构资质等)。否则不得分。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2</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bidi="ar"/>
              </w:rPr>
              <w:t>累计供货业绩</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5</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hint="eastAsia" w:ascii="仿宋" w:hAnsi="仿宋" w:eastAsia="仿宋" w:cs="仿宋"/>
                <w:color w:val="auto"/>
                <w:sz w:val="24"/>
                <w:szCs w:val="24"/>
                <w:lang w:val="zh-CN" w:bidi="ar"/>
              </w:rPr>
            </w:pPr>
            <w:r>
              <w:rPr>
                <w:rFonts w:hint="eastAsia" w:ascii="仿宋" w:hAnsi="仿宋" w:eastAsia="仿宋" w:cs="仿宋"/>
                <w:color w:val="auto"/>
                <w:sz w:val="24"/>
                <w:szCs w:val="24"/>
                <w:lang w:val="zh-CN" w:bidi="ar"/>
              </w:rPr>
              <w:t xml:space="preserve">投标人在 2023 年 1 月 1 日至投标截止时间具有化学药剂供货业绩（三年中其中一年累计合同金额不小于 </w:t>
            </w: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val="zh-CN" w:bidi="ar"/>
              </w:rPr>
              <w:t>000 万元）。三年累计合同金额达到</w:t>
            </w:r>
            <w:r>
              <w:rPr>
                <w:rFonts w:hint="eastAsia" w:ascii="仿宋" w:hAnsi="仿宋" w:eastAsia="仿宋" w:cs="仿宋"/>
                <w:color w:val="auto"/>
                <w:sz w:val="24"/>
                <w:szCs w:val="24"/>
                <w:lang w:val="en-US" w:eastAsia="zh-CN" w:bidi="ar"/>
              </w:rPr>
              <w:t>4</w:t>
            </w:r>
            <w:r>
              <w:rPr>
                <w:rFonts w:hint="eastAsia" w:ascii="仿宋" w:hAnsi="仿宋" w:eastAsia="仿宋" w:cs="仿宋"/>
                <w:color w:val="auto"/>
                <w:sz w:val="24"/>
                <w:szCs w:val="24"/>
                <w:lang w:val="zh-CN" w:bidi="ar"/>
              </w:rPr>
              <w:t>000 万元得 20%，达到</w:t>
            </w:r>
            <w:r>
              <w:rPr>
                <w:rFonts w:hint="eastAsia" w:ascii="仿宋" w:hAnsi="仿宋" w:eastAsia="仿宋" w:cs="仿宋"/>
                <w:color w:val="auto"/>
                <w:sz w:val="24"/>
                <w:szCs w:val="24"/>
                <w:lang w:val="en-US" w:eastAsia="zh-CN" w:bidi="ar"/>
              </w:rPr>
              <w:t>6</w:t>
            </w:r>
            <w:r>
              <w:rPr>
                <w:rFonts w:hint="eastAsia" w:ascii="仿宋" w:hAnsi="仿宋" w:eastAsia="仿宋" w:cs="仿宋"/>
                <w:color w:val="auto"/>
                <w:sz w:val="24"/>
                <w:szCs w:val="24"/>
                <w:lang w:val="zh-CN" w:bidi="ar"/>
              </w:rPr>
              <w:t>000 万元得 50%，达到</w:t>
            </w:r>
            <w:r>
              <w:rPr>
                <w:rFonts w:hint="eastAsia" w:ascii="仿宋" w:hAnsi="仿宋" w:eastAsia="仿宋" w:cs="仿宋"/>
                <w:color w:val="auto"/>
                <w:sz w:val="24"/>
                <w:szCs w:val="24"/>
                <w:lang w:val="en-US" w:eastAsia="zh-CN" w:bidi="ar"/>
              </w:rPr>
              <w:t>8</w:t>
            </w:r>
            <w:r>
              <w:rPr>
                <w:rFonts w:hint="eastAsia" w:ascii="仿宋" w:hAnsi="仿宋" w:eastAsia="仿宋" w:cs="仿宋"/>
                <w:color w:val="auto"/>
                <w:sz w:val="24"/>
                <w:szCs w:val="24"/>
                <w:lang w:val="zh-CN" w:bidi="ar"/>
              </w:rPr>
              <w:t>000 万元得 100%，总分5分。</w:t>
            </w:r>
          </w:p>
          <w:p>
            <w:pPr>
              <w:spacing w:after="60" w:line="560" w:lineRule="exact"/>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val="zh-CN" w:bidi="ar"/>
              </w:rPr>
              <w:t>注：提供合同（包含项目内容、双方盖章、签订日期等关键页）、每份合同至少提供一份合同发票扫描件，否则不得分。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3</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val="en-US" w:eastAsia="zh-CN" w:bidi="ar"/>
              </w:rPr>
              <w:t>同类项目业绩</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5</w:t>
            </w:r>
          </w:p>
        </w:tc>
        <w:tc>
          <w:tcPr>
            <w:tcW w:w="5601" w:type="dxa"/>
            <w:tcBorders>
              <w:top w:val="single" w:color="000000" w:sz="8" w:space="0"/>
              <w:left w:val="single" w:color="000000" w:sz="8" w:space="0"/>
              <w:bottom w:val="single" w:color="000000" w:sz="8" w:space="0"/>
              <w:right w:val="single" w:color="000000" w:sz="8" w:space="0"/>
            </w:tcBorders>
            <w:vAlign w:val="center"/>
          </w:tcPr>
          <w:p>
            <w:pPr>
              <w:numPr>
                <w:ilvl w:val="-1"/>
                <w:numId w:val="0"/>
              </w:numPr>
              <w:spacing w:after="60" w:line="560" w:lineRule="exac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投标人在2023年1月1日至投标截止时间具备电镀或线路板产业园区/企业供货业绩：</w:t>
            </w:r>
          </w:p>
          <w:p>
            <w:pPr>
              <w:numPr>
                <w:ilvl w:val="0"/>
                <w:numId w:val="4"/>
              </w:numPr>
              <w:spacing w:after="60" w:line="560" w:lineRule="exac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单个合同金额≥500万元，且供货药剂种类不少于10种（其中至少需包含液碱、50%工业硫酸、双氧水、硫酸亚铁、葡萄糖五种常规药剂）的，得100%；</w:t>
            </w:r>
          </w:p>
          <w:p>
            <w:pPr>
              <w:numPr>
                <w:ilvl w:val="0"/>
                <w:numId w:val="4"/>
              </w:numPr>
              <w:spacing w:after="60" w:line="560" w:lineRule="exac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单个合同金额≥500万元，且供货药剂种类小于10种（其中至少需包含液碱、50%工业硫酸、双氧水、硫酸亚铁、葡萄糖五种常规药剂）的，得50%；</w:t>
            </w:r>
          </w:p>
          <w:p>
            <w:pPr>
              <w:numPr>
                <w:ilvl w:val="0"/>
                <w:numId w:val="4"/>
              </w:numPr>
              <w:spacing w:after="60" w:line="560" w:lineRule="exact"/>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val="en-US" w:eastAsia="zh-CN" w:bidi="ar"/>
              </w:rPr>
              <w:t>其它不得分；</w:t>
            </w:r>
            <w:r>
              <w:rPr>
                <w:rFonts w:hint="eastAsia" w:ascii="仿宋" w:hAnsi="仿宋" w:eastAsia="仿宋" w:cs="仿宋"/>
                <w:color w:val="auto"/>
                <w:sz w:val="24"/>
                <w:szCs w:val="24"/>
                <w:lang w:val="en-US" w:eastAsia="zh-CN" w:bidi="ar"/>
              </w:rPr>
              <w:br w:type="textWrapping"/>
            </w:r>
            <w:r>
              <w:rPr>
                <w:rFonts w:hint="eastAsia" w:ascii="仿宋" w:hAnsi="仿宋" w:eastAsia="仿宋" w:cs="仿宋"/>
                <w:color w:val="auto"/>
                <w:sz w:val="24"/>
                <w:szCs w:val="24"/>
                <w:lang w:val="en-US" w:eastAsia="zh-CN" w:bidi="ar"/>
              </w:rPr>
              <w:t>注：</w:t>
            </w:r>
            <w:r>
              <w:rPr>
                <w:rFonts w:hint="default" w:ascii="Calibri" w:hAnsi="Calibri" w:eastAsia="仿宋" w:cs="Calibri"/>
                <w:color w:val="auto"/>
                <w:sz w:val="24"/>
                <w:szCs w:val="24"/>
                <w:lang w:val="en-US" w:eastAsia="zh-CN" w:bidi="ar"/>
              </w:rPr>
              <w:t>①</w:t>
            </w:r>
            <w:r>
              <w:rPr>
                <w:rFonts w:hint="eastAsia" w:ascii="仿宋" w:hAnsi="仿宋" w:eastAsia="仿宋" w:cs="仿宋"/>
                <w:color w:val="auto"/>
                <w:sz w:val="24"/>
                <w:szCs w:val="24"/>
                <w:lang w:val="en-US" w:eastAsia="zh-CN" w:bidi="ar"/>
              </w:rPr>
              <w:t>提供合同（包含项目内容、双方盖章、签订日期等关键页）；</w:t>
            </w:r>
            <w:r>
              <w:rPr>
                <w:rFonts w:hint="default" w:ascii="Calibri" w:hAnsi="Calibri" w:eastAsia="仿宋" w:cs="Calibri"/>
                <w:color w:val="auto"/>
                <w:sz w:val="24"/>
                <w:szCs w:val="24"/>
                <w:lang w:val="en-US" w:eastAsia="zh-CN" w:bidi="ar"/>
              </w:rPr>
              <w:t>②</w:t>
            </w:r>
            <w:r>
              <w:rPr>
                <w:rFonts w:hint="eastAsia" w:ascii="仿宋" w:hAnsi="仿宋" w:eastAsia="仿宋" w:cs="仿宋"/>
                <w:color w:val="auto"/>
                <w:sz w:val="24"/>
                <w:szCs w:val="24"/>
                <w:lang w:val="en-US" w:eastAsia="zh-CN" w:bidi="ar"/>
              </w:rPr>
              <w:t>供货药剂种类：提供合同期内的增值税专用发票，供货药剂种类以发票上的药剂种类数量为准；</w:t>
            </w:r>
            <w:r>
              <w:rPr>
                <w:rFonts w:hint="default" w:ascii="Calibri" w:hAnsi="Calibri" w:eastAsia="仿宋" w:cs="Calibri"/>
                <w:color w:val="auto"/>
                <w:sz w:val="24"/>
                <w:szCs w:val="24"/>
                <w:lang w:val="en-US" w:eastAsia="zh-CN" w:bidi="ar"/>
              </w:rPr>
              <w:t>③</w:t>
            </w:r>
            <w:r>
              <w:rPr>
                <w:rFonts w:hint="eastAsia" w:ascii="仿宋" w:hAnsi="仿宋" w:eastAsia="仿宋" w:cs="仿宋"/>
                <w:color w:val="auto"/>
                <w:sz w:val="24"/>
                <w:szCs w:val="24"/>
                <w:lang w:val="en-US" w:eastAsia="zh-CN" w:bidi="ar"/>
              </w:rPr>
              <w:t>所有材料原件备查，经查证，若存在弄虚作假没收投标保证金。如未按要求提供证明材料，或所提供的证明材料未能体现上述评分内容的，视为该证明材料无效。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9"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4</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bidi="ar"/>
              </w:rPr>
              <w:t>售后服务承诺</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3</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售后服务承诺（质保期、响应时间、节假日特殊安排等）内容全面、具体、合理为优，得100%；</w:t>
            </w:r>
          </w:p>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售后服务承诺内容基本齐全、可行为一般，得50%；</w:t>
            </w:r>
          </w:p>
          <w:p>
            <w:pPr>
              <w:spacing w:after="60" w:line="560" w:lineRule="exact"/>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售后服务承诺内容不齐全、不具体，没有操作性为差，得0%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679" w:type="dxa"/>
            <w:vMerge w:val="continue"/>
            <w:tcBorders>
              <w:left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val="en-US" w:eastAsia="zh-CN" w:bidi="ar"/>
              </w:rPr>
              <w:t>5</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bidi="ar"/>
              </w:rPr>
              <w:t>客户评价</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ascii="仿宋" w:hAnsi="仿宋" w:eastAsia="仿宋" w:cs="仿宋"/>
                <w:color w:val="auto"/>
                <w:sz w:val="24"/>
                <w:szCs w:val="24"/>
                <w:lang w:bidi="ar"/>
              </w:rPr>
            </w:pPr>
            <w:r>
              <w:rPr>
                <w:rFonts w:hint="eastAsia" w:ascii="仿宋" w:hAnsi="仿宋" w:eastAsia="仿宋" w:cs="仿宋"/>
                <w:color w:val="auto"/>
                <w:sz w:val="24"/>
                <w:szCs w:val="24"/>
                <w:lang w:bidi="ar"/>
              </w:rPr>
              <w:t>2</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投标人202</w:t>
            </w:r>
            <w:r>
              <w:rPr>
                <w:rFonts w:hint="eastAsia" w:ascii="仿宋" w:hAnsi="仿宋" w:eastAsia="仿宋" w:cs="仿宋"/>
                <w:color w:val="auto"/>
                <w:sz w:val="24"/>
                <w:szCs w:val="24"/>
                <w:lang w:val="en-US" w:eastAsia="zh-CN" w:bidi="ar"/>
              </w:rPr>
              <w:t>3</w:t>
            </w:r>
            <w:r>
              <w:rPr>
                <w:rFonts w:hint="eastAsia" w:ascii="仿宋" w:hAnsi="仿宋" w:eastAsia="仿宋" w:cs="仿宋"/>
                <w:color w:val="auto"/>
                <w:sz w:val="24"/>
                <w:szCs w:val="24"/>
                <w:lang w:bidi="ar"/>
              </w:rPr>
              <w:t>年</w:t>
            </w:r>
            <w:r>
              <w:rPr>
                <w:rFonts w:hint="eastAsia" w:ascii="仿宋" w:hAnsi="仿宋" w:eastAsia="仿宋" w:cs="仿宋"/>
                <w:color w:val="auto"/>
                <w:sz w:val="24"/>
                <w:szCs w:val="24"/>
                <w:lang w:val="en-US" w:eastAsia="zh-CN" w:bidi="ar"/>
              </w:rPr>
              <w:t>1月1日</w:t>
            </w:r>
            <w:r>
              <w:rPr>
                <w:rFonts w:hint="eastAsia" w:ascii="仿宋" w:hAnsi="仿宋" w:eastAsia="仿宋" w:cs="仿宋"/>
                <w:color w:val="auto"/>
                <w:sz w:val="24"/>
                <w:szCs w:val="24"/>
                <w:lang w:bidi="ar"/>
              </w:rPr>
              <w:t>至投标截止时间以来服务供货项目的客户评价，每提供一个客户评价材料得20%；最高得100%。</w:t>
            </w:r>
          </w:p>
          <w:p>
            <w:pPr>
              <w:spacing w:after="60" w:line="560" w:lineRule="exact"/>
              <w:textAlignment w:val="top"/>
              <w:rPr>
                <w:rFonts w:ascii="仿宋" w:hAnsi="仿宋" w:eastAsia="仿宋" w:cs="仿宋"/>
                <w:color w:val="auto"/>
                <w:sz w:val="24"/>
                <w:szCs w:val="24"/>
                <w:lang w:val="zh-CN" w:bidi="ar"/>
              </w:rPr>
            </w:pPr>
            <w:r>
              <w:rPr>
                <w:rFonts w:hint="eastAsia" w:ascii="仿宋" w:hAnsi="仿宋" w:eastAsia="仿宋" w:cs="仿宋"/>
                <w:color w:val="auto"/>
                <w:sz w:val="24"/>
                <w:szCs w:val="24"/>
                <w:lang w:bidi="ar"/>
              </w:rPr>
              <w:t>注：提供客户评价材料复印件，评价材料必须达到 90 分或带有“满意” 或“好评”或“优秀”等相关正面评价字眼，同一个客户不可累积计分）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07" w:hRule="atLeast"/>
          <w:jc w:val="center"/>
        </w:trPr>
        <w:tc>
          <w:tcPr>
            <w:tcW w:w="679" w:type="dxa"/>
            <w:vMerge w:val="continue"/>
            <w:tcBorders>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s="仿宋"/>
                <w:b/>
                <w:bCs/>
                <w:color w:val="0000FF"/>
                <w:sz w:val="24"/>
                <w:szCs w:val="24"/>
              </w:rPr>
            </w:pPr>
          </w:p>
        </w:tc>
        <w:tc>
          <w:tcPr>
            <w:tcW w:w="70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6</w:t>
            </w:r>
          </w:p>
        </w:tc>
        <w:tc>
          <w:tcPr>
            <w:tcW w:w="1612"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送货及时性</w:t>
            </w:r>
          </w:p>
        </w:tc>
        <w:tc>
          <w:tcPr>
            <w:tcW w:w="724"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jc w:val="center"/>
              <w:textAlignment w:val="top"/>
              <w:rPr>
                <w:rFonts w:hint="eastAsia" w:ascii="仿宋" w:hAnsi="仿宋" w:eastAsia="仿宋" w:cs="仿宋"/>
                <w:color w:val="auto"/>
                <w:sz w:val="24"/>
                <w:szCs w:val="24"/>
                <w:lang w:val="en-US" w:bidi="ar"/>
              </w:rPr>
            </w:pPr>
            <w:r>
              <w:rPr>
                <w:rFonts w:hint="eastAsia" w:ascii="仿宋" w:hAnsi="仿宋" w:eastAsia="仿宋" w:cs="仿宋"/>
                <w:color w:val="auto"/>
                <w:sz w:val="24"/>
                <w:szCs w:val="24"/>
                <w:lang w:val="en-US" w:eastAsia="zh-CN" w:bidi="ar"/>
              </w:rPr>
              <w:t>3</w:t>
            </w:r>
          </w:p>
        </w:tc>
        <w:tc>
          <w:tcPr>
            <w:tcW w:w="5601" w:type="dxa"/>
            <w:tcBorders>
              <w:top w:val="single" w:color="000000" w:sz="8" w:space="0"/>
              <w:left w:val="single" w:color="000000" w:sz="8" w:space="0"/>
              <w:bottom w:val="single" w:color="000000" w:sz="8" w:space="0"/>
              <w:right w:val="single" w:color="000000" w:sz="8" w:space="0"/>
            </w:tcBorders>
            <w:vAlign w:val="center"/>
          </w:tcPr>
          <w:p>
            <w:pPr>
              <w:spacing w:after="60" w:line="560" w:lineRule="exact"/>
              <w:textAlignment w:val="top"/>
              <w:rPr>
                <w:rFonts w:hint="default"/>
                <w:lang w:val="zh-CN" w:bidi="ar"/>
              </w:rPr>
            </w:pPr>
            <w:r>
              <w:rPr>
                <w:rFonts w:hint="eastAsia" w:ascii="仿宋" w:hAnsi="仿宋" w:eastAsia="仿宋" w:cs="仿宋"/>
                <w:color w:val="auto"/>
                <w:sz w:val="24"/>
                <w:szCs w:val="24"/>
                <w:lang w:val="en-US" w:eastAsia="zh-CN" w:bidi="ar"/>
              </w:rPr>
              <w:t xml:space="preserve">投标人的仓库距离江碧环保科技创新产业园距离由进至远进行排序，排名第一的得 3 分，每低于一名扣除 X 分，扣完为止，(x=3/合格投标人数)，得分四舍五入保留两位小数。 </w:t>
            </w:r>
            <w:r>
              <w:rPr>
                <w:rFonts w:hint="eastAsia" w:ascii="仿宋" w:hAnsi="仿宋" w:eastAsia="仿宋" w:cs="仿宋"/>
                <w:color w:val="auto"/>
                <w:sz w:val="24"/>
                <w:szCs w:val="24"/>
                <w:lang w:val="en-US" w:eastAsia="zh-CN" w:bidi="ar"/>
              </w:rPr>
              <w:br w:type="textWrapping"/>
            </w:r>
            <w:r>
              <w:rPr>
                <w:rFonts w:hint="eastAsia" w:ascii="仿宋" w:hAnsi="仿宋" w:eastAsia="仿宋" w:cs="仿宋"/>
                <w:color w:val="auto"/>
                <w:sz w:val="24"/>
                <w:szCs w:val="24"/>
                <w:lang w:val="en-US" w:eastAsia="zh-CN" w:bidi="ar"/>
              </w:rPr>
              <w:t xml:space="preserve">注：提供①高德地图导航截图，②房产证明或租赁合同。 </w:t>
            </w:r>
          </w:p>
        </w:tc>
      </w:tr>
    </w:tbl>
    <w:p>
      <w:pPr>
        <w:spacing w:after="60" w:line="560" w:lineRule="exact"/>
        <w:rPr>
          <w:vanish/>
          <w:sz w:val="24"/>
        </w:rPr>
      </w:pPr>
    </w:p>
    <w:p>
      <w:pPr>
        <w:spacing w:after="60" w:line="560" w:lineRule="exact"/>
        <w:jc w:val="left"/>
        <w:textAlignment w:val="top"/>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 xml:space="preserve"> 备注：评分中出现无证明资料或专家无法凭所提供资料判断是否得分的情况，一律作不得分处理。</w:t>
      </w:r>
    </w:p>
    <w:p>
      <w:pPr>
        <w:pStyle w:val="29"/>
        <w:rPr>
          <w:rFonts w:ascii="Times New Roman" w:hAnsi="Times New Roman"/>
        </w:rPr>
      </w:pPr>
      <w:r>
        <w:rPr>
          <w:rFonts w:hint="eastAsia" w:ascii="仿宋_GB2312" w:hAnsi="仿宋_GB2312" w:eastAsia="仿宋_GB2312" w:cs="仿宋_GB2312"/>
          <w:sz w:val="28"/>
          <w:szCs w:val="28"/>
        </w:rPr>
        <w:br w:type="page"/>
      </w:r>
    </w:p>
    <w:p>
      <w:pPr>
        <w:pStyle w:val="7"/>
        <w:rPr>
          <w:rFonts w:ascii="Times New Roman" w:hAnsi="Times New Roman"/>
        </w:rPr>
      </w:pPr>
      <w:bookmarkStart w:id="397" w:name="_Toc56856905"/>
      <w:r>
        <w:rPr>
          <w:rFonts w:ascii="Times New Roman" w:hAnsi="Times New Roman"/>
        </w:rPr>
        <w:t>1. 评标方法</w:t>
      </w:r>
      <w:bookmarkEnd w:id="397"/>
    </w:p>
    <w:p>
      <w:pPr>
        <w:spacing w:line="360" w:lineRule="auto"/>
        <w:ind w:firstLine="420" w:firstLineChars="200"/>
        <w:rPr>
          <w:rFonts w:ascii="Times New Roman" w:hAnsi="Times New Roman"/>
        </w:rPr>
      </w:pPr>
      <w:r>
        <w:rPr>
          <w:rFonts w:ascii="Times New Roman" w:hAnsi="Times New Roma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98" w:name="_Toc152045598"/>
      <w:bookmarkStart w:id="399" w:name="_Toc144974565"/>
      <w:bookmarkStart w:id="400" w:name="_Toc247514022"/>
      <w:bookmarkStart w:id="401" w:name="_Toc361508646"/>
      <w:bookmarkStart w:id="402" w:name="_Toc152042375"/>
      <w:bookmarkStart w:id="403" w:name="_Toc247527623"/>
      <w:bookmarkStart w:id="404" w:name="_Toc300835008"/>
      <w:bookmarkStart w:id="405" w:name="_Toc384308272"/>
      <w:bookmarkStart w:id="406" w:name="_Toc369531577"/>
      <w:bookmarkStart w:id="407" w:name="_Toc4497"/>
      <w:bookmarkStart w:id="408" w:name="_Toc352691533"/>
      <w:r>
        <w:rPr>
          <w:rFonts w:ascii="Times New Roman" w:hAnsi="Times New Roman"/>
        </w:rPr>
        <w:t>外。综合评分相等</w:t>
      </w:r>
      <w:bookmarkEnd w:id="398"/>
      <w:bookmarkEnd w:id="399"/>
      <w:bookmarkEnd w:id="400"/>
      <w:bookmarkEnd w:id="401"/>
      <w:bookmarkEnd w:id="402"/>
      <w:bookmarkEnd w:id="403"/>
      <w:bookmarkEnd w:id="404"/>
      <w:bookmarkEnd w:id="405"/>
      <w:r>
        <w:rPr>
          <w:rFonts w:ascii="Times New Roman" w:hAnsi="Times New Roman"/>
        </w:rPr>
        <w:t>时，以投标报价低的</w:t>
      </w:r>
      <w:bookmarkEnd w:id="406"/>
      <w:bookmarkEnd w:id="407"/>
      <w:bookmarkEnd w:id="408"/>
      <w:r>
        <w:rPr>
          <w:rFonts w:ascii="Times New Roman" w:hAnsi="Times New Roman"/>
        </w:rPr>
        <w:t>优</w:t>
      </w:r>
      <w:bookmarkStart w:id="409" w:name="_Toc39"/>
      <w:bookmarkStart w:id="410" w:name="_Toc300835009"/>
      <w:bookmarkStart w:id="411" w:name="_Toc369531578"/>
      <w:bookmarkStart w:id="412" w:name="_Toc144974566"/>
      <w:bookmarkStart w:id="413" w:name="_Toc152045599"/>
      <w:bookmarkStart w:id="414" w:name="_Toc352691534"/>
      <w:bookmarkStart w:id="415" w:name="_Toc247527624"/>
      <w:bookmarkStart w:id="416" w:name="_Toc247514023"/>
      <w:bookmarkStart w:id="417" w:name="_Toc152042376"/>
      <w:bookmarkStart w:id="418" w:name="_Toc361508647"/>
      <w:bookmarkStart w:id="419" w:name="_Toc384308273"/>
      <w:r>
        <w:rPr>
          <w:rFonts w:ascii="Times New Roman" w:hAnsi="Times New Roman"/>
        </w:rPr>
        <w:t>先；投标报价也相等</w:t>
      </w:r>
      <w:bookmarkEnd w:id="409"/>
      <w:bookmarkEnd w:id="410"/>
      <w:bookmarkEnd w:id="411"/>
      <w:bookmarkEnd w:id="412"/>
      <w:bookmarkEnd w:id="413"/>
      <w:bookmarkEnd w:id="414"/>
      <w:bookmarkEnd w:id="415"/>
      <w:bookmarkEnd w:id="416"/>
      <w:bookmarkEnd w:id="417"/>
      <w:bookmarkEnd w:id="418"/>
      <w:bookmarkEnd w:id="419"/>
      <w:r>
        <w:rPr>
          <w:rFonts w:ascii="Times New Roman" w:hAnsi="Times New Roman"/>
        </w:rPr>
        <w:t>的</w:t>
      </w:r>
      <w:r>
        <w:rPr>
          <w:rFonts w:hint="eastAsia" w:ascii="Times New Roman" w:hAnsi="Times New Roman"/>
        </w:rPr>
        <w:t>，以</w:t>
      </w:r>
      <w:r>
        <w:rPr>
          <w:rFonts w:ascii="Times New Roman" w:hAnsi="Times New Roman"/>
        </w:rPr>
        <w:t>技术得分高的优先</w:t>
      </w:r>
      <w:r>
        <w:rPr>
          <w:rFonts w:hint="eastAsia" w:ascii="Times New Roman" w:hAnsi="Times New Roman"/>
        </w:rPr>
        <w:t>；</w:t>
      </w:r>
      <w:r>
        <w:rPr>
          <w:rFonts w:ascii="Times New Roman" w:hAnsi="Times New Roman"/>
        </w:rPr>
        <w:t>如果技术得分也相</w:t>
      </w:r>
      <w:r>
        <w:rPr>
          <w:rFonts w:hint="eastAsia" w:ascii="Times New Roman" w:hAnsi="Times New Roman"/>
        </w:rPr>
        <w:t>等</w:t>
      </w:r>
      <w:r>
        <w:rPr>
          <w:rFonts w:ascii="Times New Roman" w:hAnsi="Times New Roman"/>
        </w:rPr>
        <w:t>，按照评委组长抽签方式确定中标候选人顺序。</w:t>
      </w:r>
    </w:p>
    <w:p>
      <w:pPr>
        <w:pStyle w:val="7"/>
        <w:rPr>
          <w:rFonts w:ascii="Times New Roman" w:hAnsi="Times New Roman"/>
        </w:rPr>
      </w:pPr>
      <w:bookmarkStart w:id="420" w:name="_Toc56856906"/>
      <w:r>
        <w:rPr>
          <w:rFonts w:ascii="Times New Roman" w:hAnsi="Times New Roman"/>
        </w:rPr>
        <w:t xml:space="preserve">2. </w:t>
      </w:r>
      <w:r>
        <w:rPr>
          <w:rFonts w:hint="eastAsia" w:ascii="Times New Roman" w:hAnsi="Times New Roman"/>
        </w:rPr>
        <w:t>评审标准</w:t>
      </w:r>
      <w:bookmarkEnd w:id="420"/>
    </w:p>
    <w:p>
      <w:pPr>
        <w:pStyle w:val="8"/>
        <w:spacing w:line="240" w:lineRule="auto"/>
        <w:ind w:firstLine="137"/>
        <w:rPr>
          <w:rFonts w:ascii="Times New Roman" w:hAnsi="Times New Roman"/>
        </w:rPr>
      </w:pPr>
      <w:bookmarkStart w:id="421" w:name="_Toc56856907"/>
      <w:r>
        <w:rPr>
          <w:rFonts w:ascii="Times New Roman" w:hAnsi="Times New Roman"/>
        </w:rPr>
        <w:t xml:space="preserve">2.1 </w:t>
      </w:r>
      <w:r>
        <w:rPr>
          <w:rFonts w:hint="eastAsia" w:ascii="Times New Roman" w:hAnsi="Times New Roman"/>
        </w:rPr>
        <w:t>初步评审标准</w:t>
      </w:r>
      <w:bookmarkEnd w:id="421"/>
    </w:p>
    <w:p>
      <w:pPr>
        <w:spacing w:line="400" w:lineRule="exact"/>
        <w:ind w:firstLine="420" w:firstLineChars="200"/>
        <w:rPr>
          <w:rFonts w:ascii="Times New Roman" w:hAnsi="Times New Roman"/>
        </w:rPr>
      </w:pPr>
      <w:r>
        <w:rPr>
          <w:rFonts w:ascii="Times New Roman" w:hAnsi="Times New Roman"/>
        </w:rPr>
        <w:t xml:space="preserve">2.1.1 </w:t>
      </w:r>
      <w:r>
        <w:rPr>
          <w:rFonts w:hint="eastAsia" w:ascii="Times New Roman" w:hAnsi="Times New Roman"/>
        </w:rPr>
        <w:t>初步评审</w:t>
      </w:r>
      <w:r>
        <w:rPr>
          <w:rFonts w:ascii="Times New Roman" w:hAnsi="Times New Roman"/>
        </w:rPr>
        <w:t>评审标准：见评标办法前附表。</w:t>
      </w:r>
    </w:p>
    <w:p>
      <w:pPr>
        <w:pStyle w:val="8"/>
        <w:spacing w:line="240" w:lineRule="auto"/>
        <w:ind w:firstLine="137"/>
        <w:rPr>
          <w:rFonts w:ascii="Times New Roman" w:hAnsi="Times New Roman"/>
        </w:rPr>
      </w:pPr>
      <w:bookmarkStart w:id="422" w:name="_Toc56856908"/>
      <w:r>
        <w:rPr>
          <w:rFonts w:ascii="Times New Roman" w:hAnsi="Times New Roman"/>
        </w:rPr>
        <w:t xml:space="preserve">2.2 </w:t>
      </w:r>
      <w:r>
        <w:rPr>
          <w:rFonts w:hint="eastAsia" w:ascii="Times New Roman" w:hAnsi="Times New Roman"/>
        </w:rPr>
        <w:t>分值构成与评分标准</w:t>
      </w:r>
      <w:bookmarkEnd w:id="422"/>
    </w:p>
    <w:p>
      <w:pPr>
        <w:spacing w:line="400" w:lineRule="exact"/>
        <w:ind w:firstLine="420" w:firstLineChars="200"/>
        <w:rPr>
          <w:rFonts w:ascii="Times New Roman" w:hAnsi="Times New Roman"/>
        </w:rPr>
      </w:pPr>
      <w:r>
        <w:rPr>
          <w:rFonts w:ascii="Times New Roman" w:hAnsi="Times New Roman"/>
        </w:rPr>
        <w:t>2.2.1 分值构成</w:t>
      </w:r>
    </w:p>
    <w:p>
      <w:pPr>
        <w:spacing w:line="400" w:lineRule="exact"/>
        <w:ind w:firstLine="420" w:firstLineChars="200"/>
        <w:rPr>
          <w:rFonts w:ascii="Times New Roman" w:hAnsi="Times New Roman"/>
        </w:rPr>
      </w:pPr>
      <w:r>
        <w:rPr>
          <w:rFonts w:ascii="Times New Roman" w:hAnsi="Times New Roman"/>
        </w:rPr>
        <w:t>（1）</w:t>
      </w:r>
      <w:r>
        <w:rPr>
          <w:rFonts w:hint="eastAsia" w:ascii="Times New Roman" w:hAnsi="Times New Roman"/>
        </w:rPr>
        <w:t>商务</w:t>
      </w:r>
      <w:r>
        <w:rPr>
          <w:rFonts w:ascii="Times New Roman" w:hAnsi="Times New Roman"/>
        </w:rPr>
        <w:t>部分：见评标办法前附表；</w:t>
      </w:r>
    </w:p>
    <w:p>
      <w:pPr>
        <w:spacing w:line="400" w:lineRule="exact"/>
        <w:ind w:firstLine="420" w:firstLineChars="200"/>
        <w:rPr>
          <w:rFonts w:ascii="Times New Roman" w:hAnsi="Times New Roman"/>
        </w:rPr>
      </w:pPr>
      <w:r>
        <w:rPr>
          <w:rFonts w:ascii="Times New Roman" w:hAnsi="Times New Roman"/>
        </w:rPr>
        <w:t>（2）</w:t>
      </w:r>
      <w:r>
        <w:rPr>
          <w:rFonts w:hint="eastAsia" w:ascii="Times New Roman" w:hAnsi="Times New Roman"/>
        </w:rPr>
        <w:t>技术</w:t>
      </w:r>
      <w:r>
        <w:rPr>
          <w:rFonts w:ascii="Times New Roman" w:hAnsi="Times New Roman"/>
        </w:rPr>
        <w:t>部分：见评标办法前附表；</w:t>
      </w:r>
    </w:p>
    <w:p>
      <w:pPr>
        <w:spacing w:line="400" w:lineRule="exact"/>
        <w:ind w:firstLine="420" w:firstLineChars="200"/>
        <w:rPr>
          <w:rFonts w:ascii="Times New Roman" w:hAnsi="Times New Roman"/>
        </w:rPr>
      </w:pPr>
      <w:r>
        <w:rPr>
          <w:rFonts w:ascii="Times New Roman" w:hAnsi="Times New Roman"/>
        </w:rPr>
        <w:t>2.2.</w:t>
      </w:r>
      <w:r>
        <w:rPr>
          <w:rFonts w:hint="eastAsia" w:ascii="Times New Roman" w:hAnsi="Times New Roman"/>
        </w:rPr>
        <w:t>2</w:t>
      </w:r>
      <w:r>
        <w:rPr>
          <w:rFonts w:ascii="Times New Roman" w:hAnsi="Times New Roman"/>
        </w:rPr>
        <w:t xml:space="preserve"> 评分标准</w:t>
      </w:r>
    </w:p>
    <w:p>
      <w:pPr>
        <w:spacing w:line="400" w:lineRule="exact"/>
        <w:ind w:firstLine="420" w:firstLineChars="200"/>
        <w:rPr>
          <w:rFonts w:ascii="Times New Roman" w:hAnsi="Times New Roman"/>
        </w:rPr>
      </w:pPr>
      <w:r>
        <w:rPr>
          <w:rFonts w:ascii="Times New Roman" w:hAnsi="Times New Roman"/>
        </w:rPr>
        <w:t>（1）</w:t>
      </w:r>
      <w:r>
        <w:rPr>
          <w:rFonts w:hint="eastAsia" w:ascii="Times New Roman" w:hAnsi="Times New Roman"/>
        </w:rPr>
        <w:t>商务部分</w:t>
      </w:r>
      <w:r>
        <w:rPr>
          <w:rFonts w:ascii="Times New Roman" w:hAnsi="Times New Roman"/>
        </w:rPr>
        <w:t>评分标准：见评标办法前附表；</w:t>
      </w:r>
    </w:p>
    <w:p>
      <w:pPr>
        <w:spacing w:line="400" w:lineRule="exact"/>
        <w:ind w:firstLine="420" w:firstLineChars="200"/>
        <w:rPr>
          <w:rFonts w:ascii="Times New Roman" w:hAnsi="Times New Roman"/>
        </w:rPr>
      </w:pPr>
      <w:r>
        <w:rPr>
          <w:rFonts w:ascii="Times New Roman" w:hAnsi="Times New Roman"/>
        </w:rPr>
        <w:t>（2）</w:t>
      </w:r>
      <w:r>
        <w:rPr>
          <w:rFonts w:hint="eastAsia" w:ascii="Times New Roman" w:hAnsi="Times New Roman"/>
        </w:rPr>
        <w:t>技术部分</w:t>
      </w:r>
      <w:r>
        <w:rPr>
          <w:rFonts w:ascii="Times New Roman" w:hAnsi="Times New Roman"/>
        </w:rPr>
        <w:t>评分标准：见评标办法前附表；</w:t>
      </w:r>
    </w:p>
    <w:p>
      <w:pPr>
        <w:pStyle w:val="7"/>
        <w:rPr>
          <w:rFonts w:ascii="Times New Roman" w:hAnsi="Times New Roman"/>
        </w:rPr>
      </w:pPr>
      <w:bookmarkStart w:id="423" w:name="_Toc56856909"/>
      <w:r>
        <w:rPr>
          <w:rFonts w:ascii="Times New Roman" w:hAnsi="Times New Roman"/>
        </w:rPr>
        <w:t xml:space="preserve">3. </w:t>
      </w:r>
      <w:r>
        <w:rPr>
          <w:rFonts w:hint="eastAsia" w:ascii="Times New Roman" w:hAnsi="Times New Roman"/>
        </w:rPr>
        <w:t>评标程序</w:t>
      </w:r>
      <w:bookmarkEnd w:id="423"/>
    </w:p>
    <w:p>
      <w:pPr>
        <w:pStyle w:val="8"/>
        <w:spacing w:line="240" w:lineRule="auto"/>
        <w:ind w:firstLine="137"/>
        <w:rPr>
          <w:rFonts w:ascii="Times New Roman" w:hAnsi="Times New Roman"/>
        </w:rPr>
      </w:pPr>
      <w:bookmarkStart w:id="424" w:name="_Toc56856910"/>
      <w:r>
        <w:rPr>
          <w:rFonts w:ascii="Times New Roman" w:hAnsi="Times New Roman"/>
        </w:rPr>
        <w:t xml:space="preserve">3.1 </w:t>
      </w:r>
      <w:r>
        <w:rPr>
          <w:rFonts w:hint="eastAsia" w:ascii="Times New Roman" w:hAnsi="Times New Roman"/>
        </w:rPr>
        <w:t>初步评审</w:t>
      </w:r>
      <w:bookmarkEnd w:id="424"/>
    </w:p>
    <w:p>
      <w:pPr>
        <w:spacing w:line="400" w:lineRule="exact"/>
        <w:ind w:firstLine="420" w:firstLineChars="200"/>
        <w:rPr>
          <w:rFonts w:ascii="Times New Roman" w:hAnsi="Times New Roman"/>
        </w:rPr>
      </w:pPr>
      <w:r>
        <w:rPr>
          <w:rFonts w:ascii="Times New Roman" w:hAnsi="Times New Roman"/>
        </w:rPr>
        <w:t>3.1.1评标委员会依据本章第2.1款规定的标准对投标文件进行初步评审。有一项不符合评审标准的，评标委员会应当否决其投标。</w:t>
      </w:r>
    </w:p>
    <w:p>
      <w:pPr>
        <w:spacing w:line="400" w:lineRule="exact"/>
        <w:ind w:firstLine="420" w:firstLineChars="200"/>
        <w:rPr>
          <w:rFonts w:ascii="Times New Roman" w:hAnsi="Times New Roman"/>
        </w:rPr>
      </w:pPr>
      <w:r>
        <w:rPr>
          <w:rFonts w:ascii="Times New Roman" w:hAnsi="Times New Roman"/>
        </w:rPr>
        <w:t>3.1.2 投标人有以下情形之一的，评标委员会应当否决其投标：</w:t>
      </w:r>
    </w:p>
    <w:p>
      <w:pPr>
        <w:spacing w:line="400" w:lineRule="exact"/>
        <w:ind w:firstLine="420" w:firstLineChars="200"/>
        <w:rPr>
          <w:rFonts w:ascii="Times New Roman" w:hAnsi="Times New Roman"/>
        </w:rPr>
      </w:pPr>
      <w:r>
        <w:rPr>
          <w:rFonts w:ascii="Times New Roman" w:hAnsi="Times New Roman"/>
        </w:rPr>
        <w:t>（1）投标文件没有对招标文件的实质性要求和条件作出响应，或者对招标文件的偏差超出招标文件规定的偏差范围或最高项数；</w:t>
      </w:r>
    </w:p>
    <w:p>
      <w:pPr>
        <w:spacing w:line="400" w:lineRule="exact"/>
        <w:ind w:firstLine="420" w:firstLineChars="200"/>
        <w:rPr>
          <w:rFonts w:ascii="Times New Roman" w:hAnsi="Times New Roman"/>
        </w:rPr>
      </w:pPr>
      <w:r>
        <w:rPr>
          <w:rFonts w:ascii="Times New Roman" w:hAnsi="Times New Roman"/>
        </w:rPr>
        <w:t>（2）有串通投标、弄虚作假、行贿等违法行为。</w:t>
      </w:r>
    </w:p>
    <w:p>
      <w:pPr>
        <w:spacing w:line="400" w:lineRule="exact"/>
        <w:ind w:firstLine="420" w:firstLineChars="200"/>
        <w:rPr>
          <w:rFonts w:ascii="Times New Roman" w:hAnsi="Times New Roman"/>
        </w:rPr>
      </w:pPr>
      <w:r>
        <w:rPr>
          <w:rFonts w:ascii="Times New Roman" w:hAnsi="Times New Roman"/>
        </w:rPr>
        <w:t>3.1.3 投标报价有算术错误及其他错误的，评标委员会按以下原则要求投标人对投标报价进</w:t>
      </w:r>
      <w:bookmarkStart w:id="425" w:name="_Toc152042380"/>
      <w:bookmarkStart w:id="426" w:name="_Toc384308277"/>
      <w:bookmarkStart w:id="427" w:name="_Toc144974570"/>
      <w:bookmarkStart w:id="428" w:name="_Toc369531582"/>
      <w:bookmarkStart w:id="429" w:name="_Toc247514027"/>
      <w:bookmarkStart w:id="430" w:name="_Toc361508651"/>
      <w:bookmarkStart w:id="431" w:name="_Toc2907"/>
      <w:bookmarkStart w:id="432" w:name="_Toc152045603"/>
      <w:bookmarkStart w:id="433" w:name="_Toc247527628"/>
      <w:bookmarkStart w:id="434" w:name="_Toc300835013"/>
      <w:bookmarkStart w:id="435" w:name="_Toc352691538"/>
      <w:r>
        <w:rPr>
          <w:rFonts w:ascii="Times New Roman" w:hAnsi="Times New Roman"/>
        </w:rPr>
        <w:t>行修正，并要求投标人书面澄清确认。</w:t>
      </w:r>
      <w:bookmarkEnd w:id="425"/>
      <w:bookmarkEnd w:id="426"/>
      <w:bookmarkEnd w:id="427"/>
      <w:bookmarkEnd w:id="428"/>
      <w:bookmarkEnd w:id="429"/>
      <w:bookmarkEnd w:id="430"/>
      <w:bookmarkEnd w:id="431"/>
      <w:bookmarkEnd w:id="432"/>
      <w:bookmarkEnd w:id="433"/>
      <w:bookmarkEnd w:id="434"/>
      <w:bookmarkEnd w:id="435"/>
      <w:r>
        <w:rPr>
          <w:rFonts w:ascii="Times New Roman" w:hAnsi="Times New Roman"/>
        </w:rPr>
        <w:t>投标人拒不澄清确认的，评标委员会应当否决其投标：</w:t>
      </w:r>
    </w:p>
    <w:p>
      <w:pPr>
        <w:spacing w:line="400" w:lineRule="exact"/>
        <w:ind w:firstLine="420" w:firstLineChars="200"/>
        <w:rPr>
          <w:rFonts w:ascii="Times New Roman" w:hAnsi="Times New Roman"/>
        </w:rPr>
      </w:pPr>
      <w:r>
        <w:rPr>
          <w:rFonts w:ascii="Times New Roman" w:hAnsi="Times New Roman"/>
        </w:rPr>
        <w:t>（1）投标文件中的大写金额与小写金额不一致的，以大写金额为准；</w:t>
      </w:r>
    </w:p>
    <w:p>
      <w:pPr>
        <w:spacing w:line="400" w:lineRule="exact"/>
        <w:ind w:firstLine="420" w:firstLineChars="200"/>
        <w:rPr>
          <w:rFonts w:ascii="Times New Roman" w:hAnsi="Times New Roman"/>
        </w:rPr>
      </w:pPr>
      <w:r>
        <w:rPr>
          <w:rFonts w:ascii="Times New Roman" w:hAnsi="Times New Roman"/>
        </w:rPr>
        <w:t>（2）总价金额与单价金额不一致的，以单价金额为准，但单价金额小数点有明显错误的除外</w:t>
      </w:r>
      <w:r>
        <w:rPr>
          <w:rFonts w:hint="eastAsia" w:ascii="Times New Roman" w:hAnsi="Times New Roman"/>
        </w:rPr>
        <w:t>。</w:t>
      </w:r>
    </w:p>
    <w:p>
      <w:pPr>
        <w:widowControl/>
        <w:numPr>
          <w:ilvl w:val="255"/>
          <w:numId w:val="0"/>
        </w:numPr>
        <w:spacing w:line="400" w:lineRule="exact"/>
        <w:ind w:firstLine="420" w:firstLineChars="200"/>
        <w:jc w:val="left"/>
        <w:rPr>
          <w:rFonts w:ascii="Times New Roman" w:hAnsi="Times New Roman"/>
        </w:rPr>
      </w:pPr>
      <w:r>
        <w:rPr>
          <w:rFonts w:hint="eastAsia" w:ascii="Times New Roman" w:hAnsi="Times New Roman"/>
        </w:rPr>
        <w:t>（3）当投标人所报投标总价与根据下浮率计算出来的投标总价不一致时，以下浮率修正投标人所报投标总价。</w:t>
      </w:r>
    </w:p>
    <w:p>
      <w:pPr>
        <w:spacing w:line="400" w:lineRule="exact"/>
        <w:ind w:firstLine="420" w:firstLineChars="200"/>
        <w:rPr>
          <w:rFonts w:ascii="Times New Roman" w:hAnsi="Times New Roman"/>
        </w:rPr>
      </w:pPr>
    </w:p>
    <w:p>
      <w:pPr>
        <w:pStyle w:val="8"/>
        <w:spacing w:line="240" w:lineRule="auto"/>
        <w:ind w:firstLine="137"/>
        <w:rPr>
          <w:rFonts w:ascii="Times New Roman" w:hAnsi="Times New Roman"/>
        </w:rPr>
      </w:pPr>
      <w:bookmarkStart w:id="436" w:name="_Toc56856911"/>
      <w:r>
        <w:rPr>
          <w:rFonts w:ascii="Times New Roman" w:hAnsi="Times New Roman"/>
        </w:rPr>
        <w:t xml:space="preserve">3.2 </w:t>
      </w:r>
      <w:r>
        <w:rPr>
          <w:rFonts w:hint="eastAsia" w:ascii="Times New Roman" w:hAnsi="Times New Roman"/>
        </w:rPr>
        <w:t>详细评审</w:t>
      </w:r>
      <w:bookmarkEnd w:id="436"/>
    </w:p>
    <w:p>
      <w:pPr>
        <w:spacing w:line="400" w:lineRule="exact"/>
        <w:ind w:firstLine="420" w:firstLineChars="200"/>
        <w:rPr>
          <w:rFonts w:ascii="Times New Roman" w:hAnsi="Times New Roman"/>
        </w:rPr>
      </w:pPr>
      <w:r>
        <w:rPr>
          <w:rFonts w:ascii="Times New Roman" w:hAnsi="Times New Roman"/>
        </w:rPr>
        <w:t>3.2.1 评标委员会按本章第2.2款</w:t>
      </w:r>
      <w:r>
        <w:rPr>
          <w:rFonts w:hint="eastAsia" w:ascii="Times New Roman" w:hAnsi="Times New Roman"/>
          <w:lang w:val="en-US" w:eastAsia="zh-CN"/>
        </w:rPr>
        <w:t>评分细则表</w:t>
      </w:r>
      <w:r>
        <w:rPr>
          <w:rFonts w:ascii="Times New Roman" w:hAnsi="Times New Roman"/>
        </w:rPr>
        <w:t>规定的量化因素和分值进行打分，</w:t>
      </w:r>
      <w:r>
        <w:rPr>
          <w:rFonts w:hint="eastAsia" w:ascii="Times New Roman" w:hAnsi="Times New Roman"/>
        </w:rPr>
        <w:t>得出该投标人的各部分得分，</w:t>
      </w:r>
      <w:r>
        <w:rPr>
          <w:rFonts w:ascii="Times New Roman" w:hAnsi="Times New Roman"/>
        </w:rPr>
        <w:t>并计算出综合得分。</w:t>
      </w:r>
    </w:p>
    <w:p>
      <w:pPr>
        <w:spacing w:line="400" w:lineRule="exact"/>
        <w:ind w:firstLine="420" w:firstLineChars="200"/>
        <w:rPr>
          <w:rFonts w:ascii="Times New Roman" w:hAnsi="Times New Roman"/>
        </w:rPr>
      </w:pPr>
      <w:r>
        <w:rPr>
          <w:rFonts w:ascii="Times New Roman" w:hAnsi="Times New Roman"/>
        </w:rPr>
        <w:t>3.2.2 评分分值计算保留小数点后两位，小数点后第三位</w:t>
      </w:r>
      <w:r>
        <w:rPr>
          <w:rFonts w:hint="eastAsia" w:ascii="Times New Roman" w:hAnsi="Times New Roman"/>
          <w:lang w:eastAsia="zh-CN"/>
        </w:rPr>
        <w:t>“</w:t>
      </w:r>
      <w:r>
        <w:rPr>
          <w:rFonts w:ascii="Times New Roman" w:hAnsi="Times New Roman"/>
        </w:rPr>
        <w:t>四舍五入</w:t>
      </w:r>
      <w:r>
        <w:rPr>
          <w:rFonts w:hint="eastAsia" w:ascii="Times New Roman" w:hAnsi="Times New Roman"/>
          <w:lang w:eastAsia="zh-CN"/>
        </w:rPr>
        <w:t>”</w:t>
      </w:r>
      <w:r>
        <w:rPr>
          <w:rFonts w:ascii="Times New Roman" w:hAnsi="Times New Roman"/>
        </w:rPr>
        <w:t>。</w:t>
      </w:r>
    </w:p>
    <w:p>
      <w:pPr>
        <w:spacing w:line="400" w:lineRule="exact"/>
        <w:ind w:firstLine="420" w:firstLineChars="200"/>
        <w:rPr>
          <w:rFonts w:ascii="Times New Roman" w:hAnsi="Times New Roman"/>
        </w:rPr>
      </w:pPr>
      <w:r>
        <w:rPr>
          <w:rFonts w:ascii="Times New Roman" w:hAnsi="Times New Roman"/>
        </w:rPr>
        <w:t>3.2.</w:t>
      </w:r>
      <w:r>
        <w:rPr>
          <w:rFonts w:hint="eastAsia" w:ascii="Times New Roman" w:hAnsi="Times New Roman"/>
          <w:lang w:val="en-US" w:eastAsia="zh-CN"/>
        </w:rPr>
        <w:t>3</w:t>
      </w:r>
      <w:r>
        <w:rPr>
          <w:rFonts w:ascii="Times New Roman" w:hAnsi="Times New Roma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
        <w:spacing w:line="240" w:lineRule="auto"/>
        <w:ind w:firstLine="137"/>
        <w:rPr>
          <w:rFonts w:ascii="Times New Roman" w:hAnsi="Times New Roman"/>
        </w:rPr>
      </w:pPr>
      <w:bookmarkStart w:id="437" w:name="_Toc56856912"/>
      <w:r>
        <w:rPr>
          <w:rFonts w:ascii="Times New Roman" w:hAnsi="Times New Roman"/>
        </w:rPr>
        <w:t xml:space="preserve">3.3 </w:t>
      </w:r>
      <w:r>
        <w:rPr>
          <w:rFonts w:hint="eastAsia" w:ascii="Times New Roman" w:hAnsi="Times New Roman"/>
        </w:rPr>
        <w:t>投标文件的澄清</w:t>
      </w:r>
      <w:bookmarkEnd w:id="437"/>
    </w:p>
    <w:p>
      <w:pPr>
        <w:spacing w:line="400" w:lineRule="exact"/>
        <w:ind w:firstLine="420" w:firstLineChars="200"/>
        <w:rPr>
          <w:rFonts w:ascii="Times New Roman" w:hAnsi="Times New Roman"/>
        </w:rPr>
      </w:pPr>
      <w:r>
        <w:rPr>
          <w:rFonts w:ascii="Times New Roman" w:hAnsi="Times New Roma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rFonts w:ascii="Times New Roman" w:hAnsi="Times New Roman"/>
        </w:rPr>
      </w:pPr>
      <w:r>
        <w:rPr>
          <w:rFonts w:ascii="Times New Roman" w:hAnsi="Times New Roman"/>
        </w:rPr>
        <w:t>3.3.2 澄清、说明或补正不得超出投标文件的范围且不得改变投标文件的实质性内容，并构成投标文件的组成部分。</w:t>
      </w:r>
    </w:p>
    <w:p>
      <w:pPr>
        <w:spacing w:line="400" w:lineRule="exact"/>
        <w:ind w:firstLine="420" w:firstLineChars="200"/>
        <w:rPr>
          <w:rFonts w:ascii="Times New Roman" w:hAnsi="Times New Roman"/>
        </w:rPr>
      </w:pPr>
      <w:r>
        <w:rPr>
          <w:rFonts w:ascii="Times New Roman" w:hAnsi="Times New Roman"/>
        </w:rPr>
        <w:t>3.3.3 评标委员会对投标人提交的澄清、说明或补正有疑问的，可以要求投标人进一步澄清、说明或补正，直至满足评标委员会的要求。</w:t>
      </w:r>
    </w:p>
    <w:p>
      <w:pPr>
        <w:pStyle w:val="8"/>
        <w:spacing w:line="240" w:lineRule="auto"/>
        <w:ind w:firstLine="137"/>
        <w:rPr>
          <w:rFonts w:ascii="Times New Roman" w:hAnsi="Times New Roman"/>
        </w:rPr>
      </w:pPr>
      <w:bookmarkStart w:id="438" w:name="_Toc56856913"/>
      <w:r>
        <w:rPr>
          <w:rFonts w:ascii="Times New Roman" w:hAnsi="Times New Roman"/>
        </w:rPr>
        <w:t xml:space="preserve">3.4 </w:t>
      </w:r>
      <w:r>
        <w:rPr>
          <w:rFonts w:hint="eastAsia" w:ascii="Times New Roman" w:hAnsi="Times New Roman"/>
        </w:rPr>
        <w:t>评标结果</w:t>
      </w:r>
      <w:bookmarkEnd w:id="438"/>
    </w:p>
    <w:p>
      <w:pPr>
        <w:spacing w:line="400" w:lineRule="exact"/>
        <w:ind w:firstLine="420" w:firstLineChars="200"/>
        <w:rPr>
          <w:rFonts w:ascii="Times New Roman" w:hAnsi="Times New Roman"/>
        </w:rPr>
      </w:pPr>
      <w:r>
        <w:rPr>
          <w:rFonts w:ascii="Times New Roman" w:hAnsi="Times New Roman"/>
        </w:rPr>
        <w:t>3.4.1 除第二章“投标人须知”前附表授权直接确定中标人外，评标委员会按照得分由高到低的顺序推荐中标候选人，并标明排序。</w:t>
      </w:r>
    </w:p>
    <w:p>
      <w:pPr>
        <w:spacing w:line="400" w:lineRule="exact"/>
        <w:ind w:firstLine="420" w:firstLineChars="200"/>
        <w:rPr>
          <w:rFonts w:ascii="Times New Roman" w:hAnsi="Times New Roman"/>
        </w:rPr>
      </w:pPr>
      <w:r>
        <w:rPr>
          <w:rFonts w:hint="eastAsia" w:ascii="Times New Roman" w:hAnsi="Times New Roman"/>
        </w:rPr>
        <w:t>3.4.2</w:t>
      </w:r>
      <w:r>
        <w:t xml:space="preserve"> </w:t>
      </w:r>
      <w:r>
        <w:rPr>
          <w:rFonts w:ascii="Times New Roman" w:hAnsi="Times New Roman"/>
        </w:rPr>
        <w:t xml:space="preserve"> 评标委员会完成评标后，应当向招标人提交书面评标报告和中标候选人名单。</w:t>
      </w:r>
    </w:p>
    <w:p>
      <w:pPr>
        <w:pStyle w:val="29"/>
        <w:rPr>
          <w:rFonts w:ascii="Times New Roman" w:hAnsi="Times New Roman"/>
        </w:rPr>
      </w:pPr>
    </w:p>
    <w:bookmarkEnd w:id="380"/>
    <w:bookmarkEnd w:id="381"/>
    <w:bookmarkEnd w:id="382"/>
    <w:bookmarkEnd w:id="383"/>
    <w:bookmarkEnd w:id="384"/>
    <w:bookmarkEnd w:id="385"/>
    <w:p>
      <w:pPr>
        <w:pStyle w:val="3"/>
        <w:rPr>
          <w:rFonts w:hint="eastAsia" w:asciiTheme="minorEastAsia" w:hAnsiTheme="minorEastAsia" w:eastAsiaTheme="minorEastAsia"/>
        </w:rPr>
      </w:pPr>
      <w:bookmarkStart w:id="439" w:name="_Toc56857076"/>
      <w:bookmarkStart w:id="440" w:name="_Toc56856914"/>
      <w:r>
        <w:rPr>
          <w:rFonts w:hint="eastAsia"/>
        </w:rPr>
        <w:t xml:space="preserve">第四章 </w:t>
      </w:r>
      <w:r>
        <w:rPr>
          <w:rFonts w:hint="eastAsia" w:asciiTheme="minorEastAsia" w:hAnsiTheme="minorEastAsia" w:eastAsiaTheme="minorEastAsia"/>
        </w:rPr>
        <w:t>合同条款及格式</w:t>
      </w:r>
      <w:bookmarkEnd w:id="439"/>
      <w:bookmarkEnd w:id="440"/>
      <w:bookmarkStart w:id="441" w:name="_Toc246996338"/>
      <w:bookmarkStart w:id="442" w:name="_Toc179632787"/>
      <w:bookmarkStart w:id="443" w:name="_Toc247085853"/>
      <w:bookmarkStart w:id="444" w:name="_Toc246997081"/>
      <w:bookmarkStart w:id="445" w:name="_Toc247514197"/>
      <w:bookmarkStart w:id="446" w:name="_Toc300835199"/>
      <w:bookmarkStart w:id="447" w:name="_Toc184635122"/>
      <w:bookmarkStart w:id="448" w:name="_Toc152042388"/>
      <w:bookmarkStart w:id="449" w:name="_Toc152042549"/>
      <w:bookmarkStart w:id="450" w:name="_Toc247527798"/>
      <w:bookmarkStart w:id="451" w:name="_Toc152045610"/>
      <w:bookmarkStart w:id="452" w:name="_Toc144974829"/>
      <w:bookmarkStart w:id="453" w:name="_Toc144974578"/>
    </w:p>
    <w:p>
      <w:pPr>
        <w:widowControl w:val="0"/>
        <w:spacing w:before="300"/>
        <w:ind w:left="99"/>
        <w:jc w:val="center"/>
        <w:rPr>
          <w:rFonts w:ascii="微软雅黑" w:hAnsi="微软雅黑" w:eastAsia="微软雅黑" w:cs="微软雅黑"/>
          <w:sz w:val="40"/>
          <w:szCs w:val="40"/>
        </w:rPr>
      </w:pPr>
      <w:r>
        <w:rPr>
          <w:rFonts w:hint="eastAsia" w:ascii="微软雅黑" w:hAnsi="微软雅黑" w:eastAsia="微软雅黑" w:cs="微软雅黑"/>
          <w:sz w:val="40"/>
          <w:szCs w:val="40"/>
        </w:rPr>
        <w:t>深圳市宝安湾环境科技发展有限公司</w:t>
      </w:r>
    </w:p>
    <w:p>
      <w:pPr>
        <w:widowControl w:val="0"/>
        <w:spacing w:before="300"/>
        <w:ind w:left="99"/>
        <w:jc w:val="center"/>
        <w:rPr>
          <w:rFonts w:eastAsia="微软雅黑"/>
          <w:sz w:val="40"/>
          <w:szCs w:val="40"/>
        </w:rPr>
      </w:pPr>
      <w:r>
        <w:rPr>
          <w:rFonts w:hint="eastAsia" w:ascii="微软雅黑" w:hAnsi="微软雅黑" w:eastAsia="微软雅黑" w:cs="微软雅黑"/>
          <w:sz w:val="40"/>
          <w:szCs w:val="40"/>
        </w:rPr>
        <w:t>废水处理普通药剂采购合同</w:t>
      </w:r>
    </w:p>
    <w:p>
      <w:pPr>
        <w:widowControl w:val="0"/>
        <w:spacing w:before="175"/>
        <w:ind w:left="22"/>
        <w:jc w:val="center"/>
        <w:rPr>
          <w:b/>
          <w:bCs/>
          <w:sz w:val="24"/>
          <w:szCs w:val="24"/>
          <w:lang w:bidi="ar"/>
        </w:rPr>
      </w:pPr>
      <w:r>
        <w:rPr>
          <w:rFonts w:hint="eastAsia" w:ascii="Microsoft JhengHei" w:hAnsi="Microsoft JhengHei" w:eastAsia="Microsoft JhengHei" w:cs="Microsoft JhengHei"/>
          <w:b/>
          <w:bCs/>
          <w:spacing w:val="2"/>
          <w:sz w:val="24"/>
          <w:szCs w:val="24"/>
          <w:lang w:bidi="ar"/>
        </w:rPr>
        <w:t>（注</w:t>
      </w:r>
      <w:r>
        <w:rPr>
          <w:rFonts w:hint="eastAsia" w:ascii="Microsoft JhengHei" w:hAnsi="Microsoft JhengHei" w:eastAsia="Microsoft JhengHei" w:cs="Microsoft JhengHei"/>
          <w:b/>
          <w:bCs/>
          <w:spacing w:val="-113"/>
          <w:sz w:val="24"/>
          <w:szCs w:val="24"/>
          <w:lang w:bidi="ar"/>
        </w:rPr>
        <w:t>：</w:t>
      </w:r>
      <w:r>
        <w:rPr>
          <w:rFonts w:hint="eastAsia" w:ascii="Microsoft JhengHei" w:hAnsi="Microsoft JhengHei" w:eastAsia="Microsoft JhengHei" w:cs="Microsoft JhengHei"/>
          <w:b/>
          <w:bCs/>
          <w:sz w:val="24"/>
          <w:szCs w:val="24"/>
          <w:lang w:bidi="ar"/>
        </w:rPr>
        <w:t>本</w:t>
      </w:r>
      <w:r>
        <w:rPr>
          <w:rFonts w:hint="eastAsia" w:ascii="Microsoft JhengHei" w:hAnsi="Microsoft JhengHei" w:eastAsia="Microsoft JhengHei" w:cs="Microsoft JhengHei"/>
          <w:b/>
          <w:bCs/>
          <w:spacing w:val="2"/>
          <w:sz w:val="24"/>
          <w:szCs w:val="24"/>
          <w:lang w:bidi="ar"/>
        </w:rPr>
        <w:t>合</w:t>
      </w:r>
      <w:r>
        <w:rPr>
          <w:rFonts w:hint="eastAsia" w:ascii="Microsoft JhengHei" w:hAnsi="Microsoft JhengHei" w:eastAsia="Microsoft JhengHei" w:cs="Microsoft JhengHei"/>
          <w:b/>
          <w:bCs/>
          <w:sz w:val="24"/>
          <w:szCs w:val="24"/>
          <w:lang w:bidi="ar"/>
        </w:rPr>
        <w:t>同</w:t>
      </w:r>
      <w:r>
        <w:rPr>
          <w:rFonts w:hint="eastAsia" w:ascii="Microsoft JhengHei" w:hAnsi="Microsoft JhengHei" w:eastAsia="Microsoft JhengHei" w:cs="Microsoft JhengHei"/>
          <w:b/>
          <w:bCs/>
          <w:spacing w:val="2"/>
          <w:sz w:val="24"/>
          <w:szCs w:val="24"/>
          <w:lang w:bidi="ar"/>
        </w:rPr>
        <w:t>仅</w:t>
      </w:r>
      <w:r>
        <w:rPr>
          <w:rFonts w:hint="eastAsia" w:ascii="Microsoft JhengHei" w:hAnsi="Microsoft JhengHei" w:eastAsia="Microsoft JhengHei" w:cs="Microsoft JhengHei"/>
          <w:b/>
          <w:bCs/>
          <w:sz w:val="24"/>
          <w:szCs w:val="24"/>
          <w:lang w:bidi="ar"/>
        </w:rPr>
        <w:t>为合同</w:t>
      </w:r>
      <w:r>
        <w:rPr>
          <w:rFonts w:hint="eastAsia" w:ascii="Microsoft JhengHei" w:hAnsi="Microsoft JhengHei" w:eastAsia="Microsoft JhengHei" w:cs="Microsoft JhengHei"/>
          <w:b/>
          <w:bCs/>
          <w:spacing w:val="2"/>
          <w:sz w:val="24"/>
          <w:szCs w:val="24"/>
          <w:lang w:bidi="ar"/>
        </w:rPr>
        <w:t>的</w:t>
      </w:r>
      <w:r>
        <w:rPr>
          <w:rFonts w:hint="eastAsia" w:ascii="Microsoft JhengHei" w:hAnsi="Microsoft JhengHei" w:eastAsia="Microsoft JhengHei" w:cs="Microsoft JhengHei"/>
          <w:b/>
          <w:bCs/>
          <w:sz w:val="24"/>
          <w:szCs w:val="24"/>
          <w:lang w:bidi="ar"/>
        </w:rPr>
        <w:t>参</w:t>
      </w:r>
      <w:r>
        <w:rPr>
          <w:rFonts w:hint="eastAsia" w:ascii="Microsoft JhengHei" w:hAnsi="Microsoft JhengHei" w:eastAsia="Microsoft JhengHei" w:cs="Microsoft JhengHei"/>
          <w:b/>
          <w:bCs/>
          <w:spacing w:val="2"/>
          <w:sz w:val="24"/>
          <w:szCs w:val="24"/>
          <w:lang w:bidi="ar"/>
        </w:rPr>
        <w:t>考</w:t>
      </w:r>
      <w:r>
        <w:rPr>
          <w:rFonts w:hint="eastAsia" w:ascii="Microsoft JhengHei" w:hAnsi="Microsoft JhengHei" w:eastAsia="Microsoft JhengHei" w:cs="Microsoft JhengHei"/>
          <w:b/>
          <w:bCs/>
          <w:sz w:val="24"/>
          <w:szCs w:val="24"/>
          <w:lang w:bidi="ar"/>
        </w:rPr>
        <w:t>文</w:t>
      </w:r>
      <w:r>
        <w:rPr>
          <w:rFonts w:hint="eastAsia" w:ascii="Microsoft JhengHei" w:hAnsi="Microsoft JhengHei" w:eastAsia="Microsoft JhengHei" w:cs="Microsoft JhengHei"/>
          <w:b/>
          <w:bCs/>
          <w:spacing w:val="2"/>
          <w:sz w:val="24"/>
          <w:szCs w:val="24"/>
          <w:lang w:bidi="ar"/>
        </w:rPr>
        <w:t>本</w:t>
      </w:r>
      <w:r>
        <w:rPr>
          <w:rFonts w:hint="eastAsia" w:ascii="Microsoft JhengHei" w:hAnsi="Microsoft JhengHei" w:eastAsia="Microsoft JhengHei" w:cs="Microsoft JhengHei"/>
          <w:b/>
          <w:bCs/>
          <w:spacing w:val="-113"/>
          <w:sz w:val="24"/>
          <w:szCs w:val="24"/>
          <w:lang w:bidi="ar"/>
        </w:rPr>
        <w:t>，</w:t>
      </w:r>
      <w:r>
        <w:rPr>
          <w:rFonts w:hint="eastAsia" w:ascii="Microsoft JhengHei" w:hAnsi="Microsoft JhengHei" w:eastAsia="Microsoft JhengHei" w:cs="Microsoft JhengHei"/>
          <w:b/>
          <w:bCs/>
          <w:spacing w:val="2"/>
          <w:sz w:val="24"/>
          <w:szCs w:val="24"/>
          <w:lang w:bidi="ar"/>
        </w:rPr>
        <w:t>合</w:t>
      </w:r>
      <w:r>
        <w:rPr>
          <w:rFonts w:hint="eastAsia" w:ascii="Microsoft JhengHei" w:hAnsi="Microsoft JhengHei" w:eastAsia="Microsoft JhengHei" w:cs="Microsoft JhengHei"/>
          <w:b/>
          <w:bCs/>
          <w:sz w:val="24"/>
          <w:szCs w:val="24"/>
          <w:lang w:bidi="ar"/>
        </w:rPr>
        <w:t>同签订</w:t>
      </w:r>
      <w:r>
        <w:rPr>
          <w:rFonts w:hint="eastAsia" w:ascii="Microsoft JhengHei" w:hAnsi="Microsoft JhengHei" w:eastAsia="Microsoft JhengHei" w:cs="Microsoft JhengHei"/>
          <w:b/>
          <w:bCs/>
          <w:spacing w:val="2"/>
          <w:sz w:val="24"/>
          <w:szCs w:val="24"/>
          <w:lang w:bidi="ar"/>
        </w:rPr>
        <w:t>双</w:t>
      </w:r>
      <w:r>
        <w:rPr>
          <w:rFonts w:hint="eastAsia" w:ascii="Microsoft JhengHei" w:hAnsi="Microsoft JhengHei" w:eastAsia="Microsoft JhengHei" w:cs="Microsoft JhengHei"/>
          <w:b/>
          <w:bCs/>
          <w:sz w:val="24"/>
          <w:szCs w:val="24"/>
          <w:lang w:bidi="ar"/>
        </w:rPr>
        <w:t>方</w:t>
      </w:r>
      <w:r>
        <w:rPr>
          <w:rFonts w:hint="eastAsia" w:ascii="Microsoft JhengHei" w:hAnsi="Microsoft JhengHei" w:eastAsia="Microsoft JhengHei" w:cs="Microsoft JhengHei"/>
          <w:b/>
          <w:bCs/>
          <w:spacing w:val="2"/>
          <w:sz w:val="24"/>
          <w:szCs w:val="24"/>
          <w:lang w:bidi="ar"/>
        </w:rPr>
        <w:t>根</w:t>
      </w:r>
      <w:r>
        <w:rPr>
          <w:rFonts w:hint="eastAsia" w:ascii="Microsoft JhengHei" w:hAnsi="Microsoft JhengHei" w:eastAsia="Microsoft JhengHei" w:cs="Microsoft JhengHei"/>
          <w:b/>
          <w:bCs/>
          <w:sz w:val="24"/>
          <w:szCs w:val="24"/>
          <w:lang w:bidi="ar"/>
        </w:rPr>
        <w:t>据项</w:t>
      </w:r>
      <w:r>
        <w:rPr>
          <w:rFonts w:hint="eastAsia" w:ascii="Microsoft JhengHei" w:hAnsi="Microsoft JhengHei" w:eastAsia="Microsoft JhengHei" w:cs="Microsoft JhengHei"/>
          <w:b/>
          <w:bCs/>
          <w:spacing w:val="2"/>
          <w:sz w:val="24"/>
          <w:szCs w:val="24"/>
          <w:lang w:bidi="ar"/>
        </w:rPr>
        <w:t>目</w:t>
      </w:r>
      <w:r>
        <w:rPr>
          <w:rFonts w:hint="eastAsia" w:ascii="Microsoft JhengHei" w:hAnsi="Microsoft JhengHei" w:eastAsia="Microsoft JhengHei" w:cs="Microsoft JhengHei"/>
          <w:b/>
          <w:bCs/>
          <w:sz w:val="24"/>
          <w:szCs w:val="24"/>
          <w:lang w:bidi="ar"/>
        </w:rPr>
        <w:t>的</w:t>
      </w:r>
      <w:r>
        <w:rPr>
          <w:rFonts w:hint="eastAsia" w:ascii="Microsoft JhengHei" w:hAnsi="Microsoft JhengHei" w:eastAsia="Microsoft JhengHei" w:cs="Microsoft JhengHei"/>
          <w:b/>
          <w:bCs/>
          <w:spacing w:val="2"/>
          <w:sz w:val="24"/>
          <w:szCs w:val="24"/>
          <w:lang w:bidi="ar"/>
        </w:rPr>
        <w:t>具</w:t>
      </w:r>
      <w:r>
        <w:rPr>
          <w:rFonts w:hint="eastAsia" w:ascii="Microsoft JhengHei" w:hAnsi="Microsoft JhengHei" w:eastAsia="Microsoft JhengHei" w:cs="Microsoft JhengHei"/>
          <w:b/>
          <w:bCs/>
          <w:sz w:val="24"/>
          <w:szCs w:val="24"/>
          <w:lang w:bidi="ar"/>
        </w:rPr>
        <w:t>体要</w:t>
      </w:r>
      <w:r>
        <w:rPr>
          <w:rFonts w:hint="eastAsia" w:ascii="Microsoft JhengHei" w:hAnsi="Microsoft JhengHei" w:eastAsia="Microsoft JhengHei" w:cs="Microsoft JhengHei"/>
          <w:b/>
          <w:bCs/>
          <w:spacing w:val="2"/>
          <w:sz w:val="24"/>
          <w:szCs w:val="24"/>
          <w:lang w:bidi="ar"/>
        </w:rPr>
        <w:t>求</w:t>
      </w:r>
      <w:r>
        <w:rPr>
          <w:rFonts w:hint="eastAsia" w:ascii="Microsoft JhengHei" w:hAnsi="Microsoft JhengHei" w:eastAsia="Microsoft JhengHei" w:cs="Microsoft JhengHei"/>
          <w:b/>
          <w:bCs/>
          <w:sz w:val="24"/>
          <w:szCs w:val="24"/>
          <w:lang w:bidi="ar"/>
        </w:rPr>
        <w:t>进</w:t>
      </w:r>
      <w:r>
        <w:rPr>
          <w:rFonts w:hint="eastAsia" w:ascii="Microsoft JhengHei" w:hAnsi="Microsoft JhengHei" w:eastAsia="Microsoft JhengHei" w:cs="Microsoft JhengHei"/>
          <w:b/>
          <w:bCs/>
          <w:spacing w:val="2"/>
          <w:sz w:val="24"/>
          <w:szCs w:val="24"/>
          <w:lang w:bidi="ar"/>
        </w:rPr>
        <w:t>行</w:t>
      </w:r>
      <w:r>
        <w:rPr>
          <w:rFonts w:hint="eastAsia" w:ascii="Microsoft JhengHei" w:hAnsi="Microsoft JhengHei" w:eastAsia="Microsoft JhengHei" w:cs="Microsoft JhengHei"/>
          <w:b/>
          <w:bCs/>
          <w:sz w:val="24"/>
          <w:szCs w:val="24"/>
          <w:lang w:bidi="ar"/>
        </w:rPr>
        <w:t>修</w:t>
      </w:r>
      <w:r>
        <w:rPr>
          <w:rFonts w:hint="eastAsia" w:ascii="Microsoft JhengHei" w:hAnsi="Microsoft JhengHei" w:eastAsia="Microsoft JhengHei" w:cs="Microsoft JhengHei"/>
          <w:b/>
          <w:bCs/>
          <w:spacing w:val="2"/>
          <w:sz w:val="24"/>
          <w:szCs w:val="24"/>
          <w:lang w:bidi="ar"/>
        </w:rPr>
        <w:t>订</w:t>
      </w:r>
      <w:r>
        <w:rPr>
          <w:rFonts w:hint="eastAsia" w:ascii="Microsoft JhengHei" w:hAnsi="Microsoft JhengHei" w:eastAsia="Microsoft JhengHei" w:cs="Microsoft JhengHei"/>
          <w:b/>
          <w:bCs/>
          <w:spacing w:val="-113"/>
          <w:sz w:val="24"/>
          <w:szCs w:val="24"/>
          <w:lang w:bidi="ar"/>
        </w:rPr>
        <w:t>、</w:t>
      </w:r>
      <w:r>
        <w:rPr>
          <w:rFonts w:hint="eastAsia" w:ascii="Microsoft JhengHei" w:hAnsi="Microsoft JhengHei" w:eastAsia="Microsoft JhengHei" w:cs="Microsoft JhengHei"/>
          <w:b/>
          <w:bCs/>
          <w:spacing w:val="2"/>
          <w:sz w:val="24"/>
          <w:szCs w:val="24"/>
          <w:lang w:bidi="ar"/>
        </w:rPr>
        <w:t>完</w:t>
      </w:r>
      <w:r>
        <w:rPr>
          <w:rFonts w:hint="eastAsia" w:ascii="Microsoft JhengHei" w:hAnsi="Microsoft JhengHei" w:eastAsia="Microsoft JhengHei" w:cs="Microsoft JhengHei"/>
          <w:b/>
          <w:bCs/>
          <w:sz w:val="24"/>
          <w:szCs w:val="24"/>
          <w:lang w:bidi="ar"/>
        </w:rPr>
        <w:t>善</w:t>
      </w:r>
      <w:r>
        <w:rPr>
          <w:rFonts w:hint="eastAsia" w:ascii="Microsoft JhengHei" w:hAnsi="Microsoft JhengHei" w:eastAsia="Microsoft JhengHei" w:cs="Microsoft JhengHei"/>
          <w:b/>
          <w:bCs/>
          <w:spacing w:val="-111"/>
          <w:sz w:val="24"/>
          <w:szCs w:val="24"/>
          <w:lang w:bidi="ar"/>
        </w:rPr>
        <w:t>。</w:t>
      </w:r>
      <w:r>
        <w:rPr>
          <w:rFonts w:hint="eastAsia" w:ascii="Microsoft JhengHei" w:hAnsi="Microsoft JhengHei" w:eastAsia="Microsoft JhengHei" w:cs="Microsoft JhengHei"/>
          <w:b/>
          <w:bCs/>
          <w:spacing w:val="-115"/>
          <w:sz w:val="24"/>
          <w:szCs w:val="24"/>
          <w:lang w:bidi="ar"/>
        </w:rPr>
        <w:t>）</w:t>
      </w:r>
    </w:p>
    <w:p>
      <w:pPr>
        <w:widowControl w:val="0"/>
        <w:spacing w:before="175"/>
        <w:ind w:left="22"/>
        <w:jc w:val="both"/>
        <w:rPr>
          <w:rFonts w:ascii="Microsoft JhengHei" w:hAnsi="Microsoft JhengHei" w:eastAsia="Microsoft JhengHei" w:cs="Microsoft JhengHei"/>
          <w:b/>
          <w:bCs/>
          <w:sz w:val="24"/>
          <w:szCs w:val="24"/>
          <w:lang w:bidi="ar"/>
        </w:rPr>
      </w:pPr>
    </w:p>
    <w:p>
      <w:pPr>
        <w:widowControl w:val="0"/>
        <w:spacing w:before="175" w:line="360" w:lineRule="auto"/>
        <w:ind w:left="22"/>
        <w:jc w:val="both"/>
        <w:rPr>
          <w:rFonts w:ascii="宋体" w:hAnsi="宋体" w:eastAsia="宋体" w:cs="宋体"/>
          <w:b/>
          <w:bCs/>
          <w:spacing w:val="30"/>
          <w:sz w:val="24"/>
          <w:szCs w:val="24"/>
          <w:lang w:bidi="ar"/>
        </w:rPr>
      </w:pPr>
      <w:r>
        <w:rPr>
          <w:rFonts w:hint="eastAsia" w:ascii="宋体" w:hAnsi="宋体" w:eastAsia="宋体" w:cs="宋体"/>
          <w:b/>
          <w:bCs/>
          <w:sz w:val="24"/>
          <w:szCs w:val="24"/>
          <w:lang w:bidi="ar"/>
        </w:rPr>
        <w:t>甲方：深圳市宝安湾环境科技发展有限公司</w:t>
      </w:r>
      <w:r>
        <w:rPr>
          <w:rFonts w:hint="eastAsia" w:ascii="宋体" w:hAnsi="宋体" w:eastAsia="宋体" w:cs="宋体"/>
          <w:b/>
          <w:bCs/>
          <w:spacing w:val="30"/>
          <w:sz w:val="24"/>
          <w:szCs w:val="24"/>
          <w:lang w:bidi="ar"/>
        </w:rPr>
        <w:t xml:space="preserve"> </w:t>
      </w:r>
    </w:p>
    <w:p>
      <w:pPr>
        <w:widowControl w:val="0"/>
        <w:spacing w:before="36" w:line="360" w:lineRule="auto"/>
        <w:ind w:right="2955"/>
        <w:rPr>
          <w:rFonts w:ascii="宋体" w:hAnsi="宋体" w:eastAsia="宋体" w:cs="宋体"/>
          <w:sz w:val="24"/>
          <w:szCs w:val="24"/>
        </w:rPr>
      </w:pPr>
      <w:r>
        <w:rPr>
          <w:rFonts w:hint="eastAsia" w:ascii="宋体" w:hAnsi="宋体" w:eastAsia="宋体" w:cs="宋体"/>
          <w:b/>
          <w:bCs/>
          <w:sz w:val="24"/>
          <w:szCs w:val="24"/>
          <w:lang w:bidi="ar"/>
        </w:rPr>
        <w:t>乙方：</w:t>
      </w:r>
      <w:r>
        <w:rPr>
          <w:rFonts w:hint="eastAsia" w:ascii="宋体" w:hAnsi="宋体" w:eastAsia="宋体" w:cs="宋体"/>
          <w:b/>
          <w:bCs/>
          <w:sz w:val="24"/>
          <w:szCs w:val="24"/>
          <w:u w:val="single" w:color="000000"/>
          <w:lang w:bidi="ar"/>
        </w:rPr>
        <w:t xml:space="preserve">     </w:t>
      </w:r>
      <w:r>
        <w:rPr>
          <w:rFonts w:hint="eastAsia" w:ascii="宋体" w:hAnsi="宋体" w:eastAsia="宋体" w:cs="宋体"/>
          <w:b/>
          <w:bCs/>
          <w:spacing w:val="2"/>
          <w:sz w:val="24"/>
          <w:szCs w:val="24"/>
          <w:u w:val="single" w:color="000000"/>
          <w:lang w:bidi="ar"/>
        </w:rPr>
        <w:t xml:space="preserve"> </w:t>
      </w:r>
      <w:r>
        <w:rPr>
          <w:rFonts w:hint="eastAsia" w:ascii="宋体" w:hAnsi="宋体" w:eastAsia="宋体" w:cs="宋体"/>
          <w:b/>
          <w:bCs/>
          <w:sz w:val="24"/>
          <w:szCs w:val="24"/>
          <w:u w:val="single" w:color="000000"/>
          <w:lang w:bidi="ar"/>
        </w:rPr>
        <w:t xml:space="preserve">    </w:t>
      </w:r>
      <w:r>
        <w:rPr>
          <w:rFonts w:hint="eastAsia" w:ascii="宋体" w:hAnsi="宋体" w:eastAsia="宋体" w:cs="宋体"/>
          <w:b/>
          <w:bCs/>
          <w:spacing w:val="2"/>
          <w:sz w:val="24"/>
          <w:szCs w:val="24"/>
          <w:u w:val="single" w:color="000000"/>
          <w:lang w:bidi="ar"/>
        </w:rPr>
        <w:t xml:space="preserve"> </w:t>
      </w:r>
      <w:r>
        <w:rPr>
          <w:rFonts w:hint="eastAsia" w:ascii="宋体" w:hAnsi="宋体" w:eastAsia="宋体" w:cs="宋体"/>
          <w:b/>
          <w:bCs/>
          <w:sz w:val="24"/>
          <w:szCs w:val="24"/>
          <w:u w:val="single" w:color="000000"/>
          <w:lang w:bidi="ar"/>
        </w:rPr>
        <w:t xml:space="preserve">    </w:t>
      </w:r>
      <w:r>
        <w:rPr>
          <w:rFonts w:hint="eastAsia" w:ascii="宋体" w:hAnsi="宋体" w:eastAsia="宋体" w:cs="宋体"/>
          <w:b/>
          <w:bCs/>
          <w:spacing w:val="2"/>
          <w:sz w:val="24"/>
          <w:szCs w:val="24"/>
          <w:u w:val="single" w:color="000000"/>
          <w:lang w:bidi="ar"/>
        </w:rPr>
        <w:t xml:space="preserve"> </w:t>
      </w:r>
      <w:r>
        <w:rPr>
          <w:rFonts w:hint="eastAsia" w:ascii="宋体" w:hAnsi="宋体" w:eastAsia="宋体" w:cs="宋体"/>
          <w:b/>
          <w:bCs/>
          <w:sz w:val="24"/>
          <w:szCs w:val="24"/>
          <w:u w:val="single" w:color="000000"/>
          <w:lang w:bidi="ar"/>
        </w:rPr>
        <w:t xml:space="preserve">   </w:t>
      </w:r>
      <w:r>
        <w:rPr>
          <w:rFonts w:hint="eastAsia" w:ascii="宋体" w:hAnsi="宋体" w:eastAsia="宋体" w:cs="宋体"/>
          <w:b/>
          <w:bCs/>
          <w:spacing w:val="1"/>
          <w:sz w:val="24"/>
          <w:szCs w:val="24"/>
          <w:u w:val="single" w:color="000000"/>
          <w:lang w:bidi="ar"/>
        </w:rPr>
        <w:t xml:space="preserve"> </w:t>
      </w:r>
      <w:r>
        <w:rPr>
          <w:rFonts w:hint="eastAsia" w:ascii="宋体" w:hAnsi="宋体" w:eastAsia="宋体" w:cs="宋体"/>
          <w:b/>
          <w:bCs/>
          <w:sz w:val="24"/>
          <w:szCs w:val="24"/>
          <w:lang w:bidi="ar"/>
        </w:rPr>
        <w:t xml:space="preserve">  </w:t>
      </w:r>
    </w:p>
    <w:p>
      <w:pPr>
        <w:widowControl w:val="0"/>
        <w:spacing w:before="2" w:line="360" w:lineRule="auto"/>
        <w:ind w:left="138"/>
        <w:rPr>
          <w:rFonts w:ascii="宋体" w:hAnsi="宋体" w:eastAsia="宋体" w:cs="宋体"/>
          <w:b/>
          <w:bCs/>
          <w:sz w:val="24"/>
          <w:szCs w:val="24"/>
          <w:lang w:bidi="ar"/>
        </w:rPr>
      </w:pPr>
      <w:r>
        <w:rPr>
          <w:rFonts w:hint="eastAsia" w:ascii="宋体" w:hAnsi="宋体" w:eastAsia="宋体" w:cs="宋体"/>
          <w:b/>
          <w:bCs/>
          <w:sz w:val="24"/>
          <w:szCs w:val="24"/>
          <w:lang w:bidi="ar"/>
        </w:rPr>
        <w:t xml:space="preserve">  </w:t>
      </w:r>
      <w:r>
        <w:rPr>
          <w:rFonts w:hint="eastAsia" w:ascii="宋体" w:hAnsi="宋体" w:eastAsia="宋体" w:cs="宋体"/>
          <w:b/>
          <w:bCs/>
          <w:spacing w:val="-12"/>
          <w:sz w:val="24"/>
          <w:szCs w:val="24"/>
          <w:lang w:bidi="ar"/>
        </w:rPr>
        <w:t xml:space="preserve"> </w:t>
      </w:r>
      <w:r>
        <w:rPr>
          <w:rFonts w:hint="eastAsia" w:ascii="宋体" w:hAnsi="宋体" w:eastAsia="宋体" w:cs="宋体"/>
          <w:b/>
          <w:bCs/>
          <w:sz w:val="24"/>
          <w:szCs w:val="24"/>
          <w:lang w:bidi="ar"/>
        </w:rPr>
        <w:t xml:space="preserve">  </w:t>
      </w:r>
      <w:r>
        <w:rPr>
          <w:rFonts w:hint="eastAsia" w:ascii="宋体" w:hAnsi="宋体" w:eastAsia="宋体" w:cs="宋体"/>
          <w:b/>
          <w:bCs/>
          <w:spacing w:val="-14"/>
          <w:sz w:val="24"/>
          <w:szCs w:val="24"/>
          <w:lang w:bidi="ar"/>
        </w:rPr>
        <w:t xml:space="preserve"> </w:t>
      </w:r>
      <w:r>
        <w:rPr>
          <w:rFonts w:hint="eastAsia" w:ascii="宋体" w:hAnsi="宋体" w:eastAsia="宋体" w:cs="宋体"/>
          <w:b/>
          <w:bCs/>
          <w:spacing w:val="-2"/>
          <w:sz w:val="24"/>
          <w:szCs w:val="24"/>
          <w:lang w:bidi="ar"/>
        </w:rPr>
        <w:t>根据《中华人民共和国民法典》及国家相关法律、法规之规定，甲乙双方本着平等</w:t>
      </w:r>
      <w:r>
        <w:rPr>
          <w:rFonts w:hint="eastAsia" w:ascii="宋体" w:hAnsi="宋体" w:eastAsia="宋体" w:cs="宋体"/>
          <w:b/>
          <w:bCs/>
          <w:sz w:val="24"/>
          <w:szCs w:val="24"/>
          <w:lang w:bidi="ar"/>
        </w:rPr>
        <w:t>互利的原则，就甲方购买乙方产品一事达成如下协议。</w:t>
      </w:r>
    </w:p>
    <w:p>
      <w:pPr>
        <w:widowControl w:val="0"/>
        <w:spacing w:before="2" w:line="360" w:lineRule="auto"/>
        <w:ind w:left="138"/>
      </w:pPr>
      <w:r>
        <w:rPr>
          <w:rFonts w:hint="eastAsia" w:ascii="宋体" w:hAnsi="宋体" w:eastAsia="宋体" w:cs="宋体"/>
          <w:b/>
          <w:bCs/>
          <w:sz w:val="24"/>
          <w:szCs w:val="24"/>
          <w:lang w:bidi="ar"/>
        </w:rPr>
        <w:t xml:space="preserve">一、产品名称、总价格： </w:t>
      </w:r>
    </w:p>
    <w:tbl>
      <w:tblPr>
        <w:tblStyle w:val="43"/>
        <w:tblW w:w="8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362"/>
        <w:gridCol w:w="864"/>
        <w:gridCol w:w="1120"/>
        <w:gridCol w:w="1617"/>
        <w:gridCol w:w="1209"/>
        <w:gridCol w:w="999"/>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药剂名称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药剂形态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浓度</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包装规格</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单价</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（元/吨）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预计购买量</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（吨）</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4588"/>
                <w:tab w:val="left" w:pos="5664"/>
              </w:tabs>
              <w:spacing w:line="240" w:lineRule="auto"/>
              <w:ind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r>
              <w:rPr>
                <w:rFonts w:hint="eastAsia" w:ascii="宋体" w:hAnsi="宋体" w:eastAsia="宋体" w:cs="宋体"/>
                <w:b/>
                <w:bCs/>
                <w:i w:val="0"/>
                <w:iCs w:val="0"/>
                <w:snapToGrid w:val="0"/>
                <w:color w:val="000000"/>
                <w:kern w:val="0"/>
                <w:sz w:val="18"/>
                <w:szCs w:val="18"/>
                <w:u w:val="none"/>
                <w:lang w:val="en-US" w:eastAsia="zh-CN" w:bidi="ar"/>
              </w:rPr>
              <w:tab/>
            </w:r>
            <w:r>
              <w:rPr>
                <w:rFonts w:hint="eastAsia" w:ascii="宋体" w:hAnsi="宋体" w:eastAsia="宋体" w:cs="宋体"/>
                <w:b/>
                <w:bCs/>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液碱</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4400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饮用水级聚合氯化铝</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氧化铝含量≥</w:t>
            </w: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850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聚合氯化铝</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21-23%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90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双氧水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27.5%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700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焦亚硫酸钠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焦亚硫酸钠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片碱</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50%工业硫酸</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300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葡萄糖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350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葡萄糖</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食品级</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聚丙烯酰胺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（日本三井PAM）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10Kg/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硫酸亚铁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硫酸亚铁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1000Kg/</w:t>
            </w:r>
            <w:r>
              <w:rPr>
                <w:rFonts w:hint="eastAsia" w:ascii="宋体" w:hAnsi="宋体" w:eastAsia="宋体" w:cs="宋体"/>
                <w:i w:val="0"/>
                <w:iCs w:val="0"/>
                <w:snapToGrid w:val="0"/>
                <w:color w:val="000000"/>
                <w:kern w:val="0"/>
                <w:sz w:val="20"/>
                <w:szCs w:val="20"/>
                <w:u w:val="none"/>
                <w:lang w:val="en-US" w:eastAsia="zh-CN" w:bidi="ar"/>
              </w:rPr>
              <w:t>袋，</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次氯酸钠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有效氯≥</w:t>
            </w: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300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螯合碱</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有效碱含量≥</w:t>
            </w: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1000Kg/</w:t>
            </w:r>
            <w:r>
              <w:rPr>
                <w:rFonts w:hint="eastAsia" w:ascii="宋体" w:hAnsi="宋体" w:eastAsia="宋体" w:cs="宋体"/>
                <w:i w:val="0"/>
                <w:iCs w:val="0"/>
                <w:snapToGrid w:val="0"/>
                <w:color w:val="000000"/>
                <w:kern w:val="0"/>
                <w:sz w:val="20"/>
                <w:szCs w:val="20"/>
                <w:u w:val="none"/>
                <w:lang w:val="en-US" w:eastAsia="zh-CN" w:bidi="ar"/>
              </w:rPr>
              <w:t>袋，</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石灰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180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复合碱</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包（牛皮纸），</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亚硫酸氢钠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130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亚硫酸氢钠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30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硫化钠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硫化钠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30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氯化钙</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640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氯化钙</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盐酸</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吨桶，30吨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盐酸</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面粉</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食品级</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16</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补碳剂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COD≥30万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90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尿素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总氮含量≥46%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29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磷肥</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总磷含量≥</w:t>
            </w: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碳酸钠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聚合硫酸铁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全铁含量≥</w:t>
            </w: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槽车，30吨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聚合硫酸铁</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全铁含量≥</w:t>
            </w:r>
            <w:r>
              <w:rPr>
                <w:rFonts w:hint="default" w:ascii="Times New Roman" w:hAnsi="Times New Roman" w:eastAsia="宋体" w:cs="Times New Roman"/>
                <w:i w:val="0"/>
                <w:iCs w:val="0"/>
                <w:snapToGrid w:val="0"/>
                <w:color w:val="000000"/>
                <w:kern w:val="0"/>
                <w:sz w:val="20"/>
                <w:szCs w:val="20"/>
                <w:u w:val="none"/>
                <w:lang w:val="en-US" w:eastAsia="zh-CN" w:bidi="ar"/>
              </w:rPr>
              <w:t>19.5%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六水氯化铝</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吨桶，30吨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六水氯化铝</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柠檬酸</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固体</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99.5%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包，</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消泡剂</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液态</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20%非硅</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25Kg/</w:t>
            </w:r>
            <w:r>
              <w:rPr>
                <w:rFonts w:hint="eastAsia" w:ascii="宋体" w:hAnsi="宋体" w:eastAsia="宋体" w:cs="宋体"/>
                <w:i w:val="0"/>
                <w:iCs w:val="0"/>
                <w:snapToGrid w:val="0"/>
                <w:color w:val="000000"/>
                <w:kern w:val="0"/>
                <w:sz w:val="20"/>
                <w:szCs w:val="20"/>
                <w:u w:val="none"/>
                <w:lang w:val="en-US" w:eastAsia="zh-CN" w:bidi="ar"/>
              </w:rPr>
              <w:t>桶，</w:t>
            </w:r>
            <w:r>
              <w:rPr>
                <w:rFonts w:hint="default" w:ascii="Times New Roman" w:hAnsi="Times New Roman" w:eastAsia="宋体" w:cs="Times New Roman"/>
                <w:i w:val="0"/>
                <w:iCs w:val="0"/>
                <w:snapToGrid w:val="0"/>
                <w:color w:val="000000"/>
                <w:kern w:val="0"/>
                <w:sz w:val="20"/>
                <w:szCs w:val="20"/>
                <w:u w:val="none"/>
                <w:lang w:val="en-US" w:eastAsia="zh-CN" w:bidi="ar"/>
              </w:rPr>
              <w:t>1-10</w:t>
            </w:r>
            <w:r>
              <w:rPr>
                <w:rFonts w:hint="eastAsia" w:ascii="宋体" w:hAnsi="宋体" w:eastAsia="宋体" w:cs="宋体"/>
                <w:i w:val="0"/>
                <w:iCs w:val="0"/>
                <w:snapToGrid w:val="0"/>
                <w:color w:val="000000"/>
                <w:kern w:val="0"/>
                <w:sz w:val="20"/>
                <w:szCs w:val="20"/>
                <w:u w:val="none"/>
                <w:lang w:val="en-US" w:eastAsia="zh-CN" w:bidi="ar"/>
              </w:rPr>
              <w:t>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PH校正液4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500m1/瓶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PH校正液7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500m1/瓶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85</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39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PH校正液10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500m1/瓶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40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ORP校正液240MV</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500m1/瓶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lang w:bidi="ar"/>
              </w:rPr>
            </w:pPr>
            <w:r>
              <w:rPr>
                <w:rFonts w:hint="eastAsia" w:ascii="宋体" w:hAnsi="宋体" w:eastAsia="宋体" w:cs="宋体"/>
                <w:b/>
                <w:bCs/>
                <w:i w:val="0"/>
                <w:iCs w:val="0"/>
                <w:snapToGrid w:val="0"/>
                <w:color w:val="000000"/>
                <w:kern w:val="0"/>
                <w:sz w:val="20"/>
                <w:szCs w:val="20"/>
                <w:u w:val="none"/>
                <w:lang w:val="en-US" w:eastAsia="zh-CN" w:bidi="ar"/>
              </w:rPr>
              <w:t>41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ORP校正液470MV</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16"/>
                <w:szCs w:val="16"/>
                <w:u w:val="none"/>
                <w:lang w:val="en-US" w:eastAsia="zh-CN" w:bidi="ar"/>
              </w:rPr>
              <w: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default" w:ascii="Times New Roman" w:hAnsi="Times New Roman" w:eastAsia="宋体" w:cs="Times New Roman"/>
                <w:i w:val="0"/>
                <w:iCs w:val="0"/>
                <w:snapToGrid w:val="0"/>
                <w:color w:val="000000"/>
                <w:kern w:val="0"/>
                <w:sz w:val="20"/>
                <w:szCs w:val="20"/>
                <w:u w:val="none"/>
                <w:lang w:val="en-US" w:eastAsia="zh-CN" w:bidi="ar"/>
              </w:rPr>
              <w:t>500m1/瓶</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i w:val="0"/>
                <w:iCs w:val="0"/>
                <w:snapToGrid w:val="0"/>
                <w:color w:val="000000"/>
                <w:kern w:val="0"/>
                <w:sz w:val="20"/>
                <w:szCs w:val="20"/>
                <w:u w:val="none"/>
                <w:lang w:val="en-US" w:eastAsia="zh-CN" w:bidi="ar"/>
              </w:rPr>
              <w:t>50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675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snapToGrid w:val="0"/>
                <w:color w:val="000000"/>
                <w:sz w:val="18"/>
                <w:szCs w:val="18"/>
                <w:u w:val="none"/>
                <w:lang w:val="en-US" w:eastAsia="zh-CN" w:bidi="ar"/>
              </w:rPr>
              <w:t>总价</w:t>
            </w:r>
          </w:p>
        </w:tc>
        <w:tc>
          <w:tcPr>
            <w:tcW w:w="99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宋体" w:hAnsi="宋体" w:eastAsia="宋体" w:cs="宋体"/>
                <w:i w:val="0"/>
                <w:iCs w:val="0"/>
                <w:snapToGrid w:val="0"/>
                <w:color w:val="000000"/>
                <w:sz w:val="18"/>
                <w:szCs w:val="18"/>
                <w:u w:val="none"/>
                <w:lang w:val="en-US" w:eastAsia="zh-CN" w:bidi="ar"/>
              </w:rPr>
            </w:pP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bl>
    <w:p>
      <w:pPr>
        <w:widowControl/>
        <w:spacing w:line="240" w:lineRule="auto"/>
        <w:ind w:left="0"/>
      </w:pPr>
      <w:r>
        <w:rPr>
          <w:rFonts w:hint="eastAsia"/>
        </w:rPr>
        <w:t>本表单价包含药剂价款、税费、运输费、装卸费</w:t>
      </w:r>
      <w:r>
        <w:rPr>
          <w:rFonts w:hint="eastAsia" w:eastAsia="宋体"/>
          <w:lang w:eastAsia="zh-CN"/>
        </w:rPr>
        <w:t>、过磅费</w:t>
      </w:r>
      <w:r>
        <w:rPr>
          <w:rFonts w:hint="eastAsia"/>
        </w:rPr>
        <w:t xml:space="preserve">等一切费用。 </w:t>
      </w:r>
    </w:p>
    <w:p>
      <w:pPr>
        <w:widowControl w:val="0"/>
        <w:spacing w:line="360" w:lineRule="auto"/>
        <w:ind w:left="138"/>
        <w:rPr>
          <w:rFonts w:ascii="宋体" w:hAnsi="宋体" w:eastAsia="宋体" w:cs="宋体"/>
          <w:sz w:val="24"/>
          <w:szCs w:val="24"/>
        </w:rPr>
      </w:pPr>
      <w:r>
        <w:rPr>
          <w:rFonts w:hint="eastAsia" w:ascii="宋体" w:hAnsi="宋体" w:eastAsia="宋体" w:cs="宋体"/>
          <w:spacing w:val="-1"/>
          <w:sz w:val="24"/>
          <w:szCs w:val="24"/>
          <w:lang w:bidi="ar"/>
        </w:rPr>
        <w:t>合同总价：</w:t>
      </w:r>
      <w:r>
        <w:rPr>
          <w:rFonts w:hint="eastAsia" w:ascii="宋体" w:hAnsi="宋体" w:eastAsia="宋体" w:cs="宋体"/>
          <w:sz w:val="24"/>
          <w:szCs w:val="24"/>
          <w:lang w:bidi="ar"/>
        </w:rPr>
        <w:t xml:space="preserve">         元，大写：（          ），</w:t>
      </w:r>
      <w:r>
        <w:rPr>
          <w:rFonts w:hint="eastAsia" w:ascii="宋体" w:hAnsi="宋体" w:eastAsia="宋体" w:cs="宋体"/>
          <w:snapToGrid/>
          <w:color w:val="000000" w:themeColor="text1"/>
          <w:kern w:val="2"/>
          <w:sz w:val="24"/>
          <w:szCs w:val="24"/>
          <w14:textFill>
            <w14:solidFill>
              <w14:schemeClr w14:val="tx1"/>
            </w14:solidFill>
          </w14:textFill>
        </w:rPr>
        <w:t>各类型药剂需求量均为暂估用量，具体以污水处理的需求为准，结算总价为合同单价（中标单价）乘以实际采购产品数量。</w:t>
      </w:r>
    </w:p>
    <w:p>
      <w:pPr>
        <w:widowControl w:val="0"/>
        <w:spacing w:line="360" w:lineRule="auto"/>
        <w:rPr>
          <w:rFonts w:ascii="宋体" w:hAnsi="宋体" w:eastAsia="宋体" w:cs="宋体"/>
          <w:sz w:val="24"/>
          <w:szCs w:val="24"/>
        </w:rPr>
      </w:pPr>
      <w:r>
        <w:rPr>
          <w:rFonts w:hint="eastAsia" w:ascii="宋体" w:hAnsi="宋体" w:eastAsia="宋体" w:cs="宋体"/>
          <w:b/>
          <w:bCs/>
          <w:sz w:val="24"/>
          <w:szCs w:val="24"/>
          <w:lang w:bidi="ar"/>
        </w:rPr>
        <w:t xml:space="preserve">二、货物要求及服务要求: </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1、所供货物必须符合中华人民共和国国家标准或行业标准；</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2、所有产品质量标准必须按国家现行的规范执行；</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3、交付验收标准依次序对照适用标准为：</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①符合《危险化学品安全管理条例》的相关要求；</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 xml:space="preserve">②符合响应承诺甲方认可的合理技术要求； </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 xml:space="preserve">4、产品质量指标须根据国家相关部门新颁发的有关文件规定进行调整。乙方应提供化学品安全技术说明书和化学品标签。 </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 xml:space="preserve">5、项目不得转包他人，否则甲方有权终止合同，所带来的一切损失由乙方负责。 </w:t>
      </w:r>
    </w:p>
    <w:p>
      <w:pPr>
        <w:widowControl w:val="0"/>
        <w:spacing w:line="360" w:lineRule="auto"/>
        <w:ind w:left="138"/>
        <w:rPr>
          <w:rFonts w:ascii="宋体" w:hAnsi="宋体" w:eastAsia="宋体" w:cs="宋体"/>
          <w:sz w:val="24"/>
          <w:szCs w:val="24"/>
          <w:lang w:bidi="ar"/>
        </w:rPr>
      </w:pPr>
      <w:r>
        <w:rPr>
          <w:rFonts w:hint="eastAsia" w:ascii="宋体" w:hAnsi="宋体" w:eastAsia="宋体" w:cs="宋体"/>
          <w:sz w:val="24"/>
          <w:szCs w:val="24"/>
          <w:lang w:bidi="ar"/>
        </w:rPr>
        <w:t>6、乙方应提供服务专线，并有专人负责以方便工作联系和服务。服务专线电话</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，如有更换，应及时通知甲方。    </w:t>
      </w:r>
    </w:p>
    <w:p>
      <w:pPr>
        <w:widowControl w:val="0"/>
        <w:spacing w:line="360" w:lineRule="auto"/>
        <w:ind w:left="138"/>
        <w:rPr>
          <w:rFonts w:ascii="宋体" w:hAnsi="宋体" w:eastAsia="宋体" w:cs="宋体"/>
          <w:sz w:val="24"/>
          <w:szCs w:val="24"/>
          <w:lang w:bidi="ar"/>
        </w:rPr>
      </w:pPr>
      <w:r>
        <w:rPr>
          <w:rFonts w:hint="eastAsia" w:ascii="宋体" w:hAnsi="宋体" w:cs="宋体"/>
          <w:sz w:val="24"/>
          <w:szCs w:val="24"/>
          <w:lang w:val="en-US" w:eastAsia="zh-CN" w:bidi="ar"/>
        </w:rPr>
        <w:t>7</w:t>
      </w:r>
      <w:r>
        <w:rPr>
          <w:rFonts w:hint="eastAsia" w:ascii="宋体" w:hAnsi="宋体" w:eastAsia="宋体" w:cs="宋体"/>
          <w:sz w:val="24"/>
          <w:szCs w:val="24"/>
          <w:lang w:bidi="ar"/>
        </w:rPr>
        <w:t xml:space="preserve">、质保期内如货物非因甲方的人为原因而出现质量问题的，乙方应无条件负责包换或包退，并承担调换或退货的实际费用。乙方不能调换或拒绝调换的均按不能交货处理。 </w:t>
      </w:r>
    </w:p>
    <w:p>
      <w:pPr>
        <w:widowControl w:val="0"/>
        <w:spacing w:line="360" w:lineRule="auto"/>
        <w:ind w:left="138"/>
        <w:rPr>
          <w:rFonts w:ascii="宋体" w:hAnsi="宋体" w:eastAsia="宋体" w:cs="宋体"/>
          <w:sz w:val="24"/>
          <w:szCs w:val="24"/>
          <w:lang w:bidi="ar"/>
        </w:rPr>
      </w:pPr>
      <w:r>
        <w:rPr>
          <w:rFonts w:hint="eastAsia" w:ascii="宋体" w:hAnsi="宋体" w:cs="宋体"/>
          <w:sz w:val="24"/>
          <w:szCs w:val="24"/>
          <w:lang w:val="en-US" w:eastAsia="zh-CN" w:bidi="ar"/>
        </w:rPr>
        <w:t>8</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 甲方有权对产品质量进行抽查。甲方视情况有权随机抽取产品自检，若自检不合格送相关检测单位进行检验，第三方检测合格，则检验费用均由甲方支付；若检测结果不合格，则所有检验费用均由乙方支付。抽验结果要符合国家标准或行业标准，否则，甲方有权单方面解除合同和追究乙方由此引起的责任。 </w:t>
      </w:r>
    </w:p>
    <w:p>
      <w:pPr>
        <w:widowControl w:val="0"/>
        <w:spacing w:line="360" w:lineRule="auto"/>
        <w:ind w:left="138"/>
        <w:rPr>
          <w:rFonts w:ascii="宋体" w:hAnsi="宋体" w:eastAsia="宋体" w:cs="宋体"/>
          <w:sz w:val="24"/>
          <w:szCs w:val="24"/>
          <w:lang w:bidi="ar"/>
        </w:rPr>
      </w:pPr>
      <w:r>
        <w:rPr>
          <w:rFonts w:hint="eastAsia" w:ascii="宋体" w:hAnsi="宋体" w:cs="宋体"/>
          <w:sz w:val="24"/>
          <w:szCs w:val="24"/>
          <w:lang w:val="en-US" w:eastAsia="zh-CN" w:bidi="ar"/>
        </w:rPr>
        <w:t>9</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服务期内，乙方应按合同约定及时送货。否则，如第一次未能及时送货的，甲方对乙方进行口头警告；如第二次未能及时送货的，甲方对乙方进行书面警告； 如第三次未能及时送货的或未能应急送货的，甲方有权利随时单方终止合同而无需承担任何责任，乙方自行承担合同终止后的全部损失，并扣除全部履约保证金作为违约金。 </w:t>
      </w:r>
    </w:p>
    <w:p>
      <w:pPr>
        <w:widowControl w:val="0"/>
        <w:spacing w:line="360" w:lineRule="auto"/>
        <w:ind w:left="138"/>
        <w:rPr>
          <w:rFonts w:ascii="宋体" w:hAnsi="宋体" w:eastAsia="宋体" w:cs="宋体"/>
          <w:sz w:val="24"/>
          <w:szCs w:val="24"/>
          <w:lang w:bidi="ar"/>
        </w:rPr>
      </w:pPr>
      <w:r>
        <w:rPr>
          <w:rFonts w:hint="eastAsia" w:ascii="宋体" w:hAnsi="宋体" w:cs="宋体"/>
          <w:sz w:val="24"/>
          <w:szCs w:val="24"/>
          <w:lang w:val="en-US" w:eastAsia="zh-CN" w:bidi="ar"/>
        </w:rPr>
        <w:t>10</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 由于甲方单位经营的特殊性，乙方应全年365天提供送货服务。 </w:t>
      </w:r>
    </w:p>
    <w:p>
      <w:pPr>
        <w:widowControl w:val="0"/>
        <w:spacing w:line="360" w:lineRule="auto"/>
        <w:ind w:left="138"/>
        <w:rPr>
          <w:rFonts w:ascii="宋体" w:hAnsi="宋体" w:eastAsia="宋体" w:cs="宋体"/>
          <w:sz w:val="24"/>
          <w:szCs w:val="24"/>
        </w:rPr>
      </w:pPr>
      <w:r>
        <w:rPr>
          <w:rFonts w:hint="eastAsia" w:ascii="宋体" w:hAnsi="宋体" w:cs="宋体"/>
          <w:sz w:val="24"/>
          <w:szCs w:val="24"/>
          <w:lang w:val="en-US" w:eastAsia="zh-CN" w:bidi="ar"/>
        </w:rPr>
        <w:t xml:space="preserve">11、 </w:t>
      </w:r>
      <w:r>
        <w:rPr>
          <w:rFonts w:hint="eastAsia" w:ascii="宋体" w:hAnsi="宋体" w:eastAsia="宋体" w:cs="宋体"/>
          <w:sz w:val="24"/>
          <w:szCs w:val="24"/>
          <w:lang w:bidi="ar"/>
        </w:rPr>
        <w:t>乙方应提供危险品运输的相应资质</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或委托运输单位相应资质</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给甲方备案。  </w:t>
      </w:r>
    </w:p>
    <w:p>
      <w:pPr>
        <w:widowControl w:val="0"/>
        <w:spacing w:line="360" w:lineRule="auto"/>
        <w:rPr>
          <w:rFonts w:ascii="宋体" w:hAnsi="宋体" w:eastAsia="宋体" w:cs="宋体"/>
          <w:sz w:val="24"/>
          <w:szCs w:val="24"/>
        </w:rPr>
      </w:pPr>
      <w:r>
        <w:rPr>
          <w:rFonts w:hint="eastAsia" w:ascii="宋体" w:hAnsi="宋体" w:eastAsia="宋体" w:cs="宋体"/>
          <w:sz w:val="24"/>
          <w:szCs w:val="24"/>
          <w:lang w:bidi="ar"/>
        </w:rPr>
        <w:t>三、</w:t>
      </w:r>
      <w:r>
        <w:rPr>
          <w:rFonts w:hint="eastAsia" w:ascii="宋体" w:hAnsi="宋体" w:eastAsia="宋体" w:cs="宋体"/>
          <w:b/>
          <w:bCs/>
          <w:spacing w:val="2"/>
          <w:sz w:val="24"/>
          <w:szCs w:val="24"/>
          <w:lang w:bidi="ar"/>
        </w:rPr>
        <w:t>交</w:t>
      </w:r>
      <w:r>
        <w:rPr>
          <w:rFonts w:hint="eastAsia" w:ascii="宋体" w:hAnsi="宋体" w:eastAsia="宋体" w:cs="宋体"/>
          <w:b/>
          <w:bCs/>
          <w:sz w:val="24"/>
          <w:szCs w:val="24"/>
          <w:lang w:bidi="ar"/>
        </w:rPr>
        <w:t>货</w:t>
      </w:r>
      <w:r>
        <w:rPr>
          <w:rFonts w:hint="eastAsia" w:ascii="宋体" w:hAnsi="宋体" w:eastAsia="宋体" w:cs="宋体"/>
          <w:b/>
          <w:bCs/>
          <w:spacing w:val="2"/>
          <w:sz w:val="24"/>
          <w:szCs w:val="24"/>
          <w:lang w:bidi="ar"/>
        </w:rPr>
        <w:t>期</w:t>
      </w:r>
      <w:r>
        <w:rPr>
          <w:rFonts w:hint="eastAsia" w:ascii="宋体" w:hAnsi="宋体" w:eastAsia="宋体" w:cs="宋体"/>
          <w:b/>
          <w:bCs/>
          <w:sz w:val="24"/>
          <w:szCs w:val="24"/>
          <w:lang w:bidi="ar"/>
        </w:rPr>
        <w:t>、交</w:t>
      </w:r>
      <w:r>
        <w:rPr>
          <w:rFonts w:hint="eastAsia" w:ascii="宋体" w:hAnsi="宋体" w:eastAsia="宋体" w:cs="宋体"/>
          <w:b/>
          <w:bCs/>
          <w:spacing w:val="2"/>
          <w:sz w:val="24"/>
          <w:szCs w:val="24"/>
          <w:lang w:bidi="ar"/>
        </w:rPr>
        <w:t>货</w:t>
      </w:r>
      <w:r>
        <w:rPr>
          <w:rFonts w:hint="eastAsia" w:ascii="宋体" w:hAnsi="宋体" w:eastAsia="宋体" w:cs="宋体"/>
          <w:b/>
          <w:bCs/>
          <w:sz w:val="24"/>
          <w:szCs w:val="24"/>
          <w:lang w:bidi="ar"/>
        </w:rPr>
        <w:t>方</w:t>
      </w:r>
      <w:r>
        <w:rPr>
          <w:rFonts w:hint="eastAsia" w:ascii="宋体" w:hAnsi="宋体" w:eastAsia="宋体" w:cs="宋体"/>
          <w:b/>
          <w:bCs/>
          <w:spacing w:val="2"/>
          <w:sz w:val="24"/>
          <w:szCs w:val="24"/>
          <w:lang w:bidi="ar"/>
        </w:rPr>
        <w:t>式</w:t>
      </w:r>
      <w:r>
        <w:rPr>
          <w:rFonts w:hint="eastAsia" w:ascii="宋体" w:hAnsi="宋体" w:eastAsia="宋体" w:cs="宋体"/>
          <w:b/>
          <w:bCs/>
          <w:sz w:val="24"/>
          <w:szCs w:val="24"/>
          <w:lang w:bidi="ar"/>
        </w:rPr>
        <w:t>及交</w:t>
      </w:r>
      <w:r>
        <w:rPr>
          <w:rFonts w:hint="eastAsia" w:ascii="宋体" w:hAnsi="宋体" w:eastAsia="宋体" w:cs="宋体"/>
          <w:b/>
          <w:bCs/>
          <w:spacing w:val="2"/>
          <w:sz w:val="24"/>
          <w:szCs w:val="24"/>
          <w:lang w:bidi="ar"/>
        </w:rPr>
        <w:t>货</w:t>
      </w:r>
      <w:r>
        <w:rPr>
          <w:rFonts w:hint="eastAsia" w:ascii="宋体" w:hAnsi="宋体" w:eastAsia="宋体" w:cs="宋体"/>
          <w:b/>
          <w:bCs/>
          <w:sz w:val="24"/>
          <w:szCs w:val="24"/>
          <w:lang w:bidi="ar"/>
        </w:rPr>
        <w:t>地</w:t>
      </w:r>
      <w:r>
        <w:rPr>
          <w:rFonts w:hint="eastAsia" w:ascii="宋体" w:hAnsi="宋体" w:eastAsia="宋体" w:cs="宋体"/>
          <w:b/>
          <w:bCs/>
          <w:spacing w:val="2"/>
          <w:sz w:val="24"/>
          <w:szCs w:val="24"/>
          <w:lang w:bidi="ar"/>
        </w:rPr>
        <w:t>点：</w:t>
      </w:r>
      <w:r>
        <w:rPr>
          <w:rFonts w:hint="eastAsia" w:ascii="宋体" w:hAnsi="宋体" w:eastAsia="宋体" w:cs="宋体"/>
          <w:b/>
          <w:bCs/>
          <w:sz w:val="24"/>
          <w:szCs w:val="24"/>
          <w:lang w:bidi="ar"/>
        </w:rPr>
        <w:t xml:space="preserve">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（一）交货时间：需根据</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甲方</w:t>
      </w:r>
      <w:r>
        <w:rPr>
          <w:rFonts w:hint="eastAsia" w:ascii="宋体" w:hAnsi="宋体" w:eastAsia="宋体" w:cs="宋体"/>
          <w:snapToGrid/>
          <w:color w:val="000000" w:themeColor="text1"/>
          <w:kern w:val="2"/>
          <w:sz w:val="24"/>
          <w:szCs w:val="24"/>
          <w14:textFill>
            <w14:solidFill>
              <w14:schemeClr w14:val="tx1"/>
            </w14:solidFill>
          </w14:textFill>
        </w:rPr>
        <w:t>的要求送货，原则上</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甲方</w:t>
      </w:r>
      <w:r>
        <w:rPr>
          <w:rFonts w:hint="eastAsia" w:ascii="宋体" w:hAnsi="宋体" w:eastAsia="宋体" w:cs="宋体"/>
          <w:snapToGrid/>
          <w:color w:val="000000" w:themeColor="text1"/>
          <w:kern w:val="2"/>
          <w:sz w:val="24"/>
          <w:szCs w:val="24"/>
          <w14:textFill>
            <w14:solidFill>
              <w14:schemeClr w14:val="tx1"/>
            </w14:solidFill>
          </w14:textFill>
        </w:rPr>
        <w:t>需提前2天通知送货，</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乙</w:t>
      </w:r>
      <w:r>
        <w:rPr>
          <w:rFonts w:hint="eastAsia" w:ascii="宋体" w:hAnsi="宋体" w:eastAsia="宋体" w:cs="宋体"/>
          <w:snapToGrid/>
          <w:color w:val="000000" w:themeColor="text1"/>
          <w:kern w:val="2"/>
          <w:sz w:val="24"/>
          <w:szCs w:val="24"/>
          <w14:textFill>
            <w14:solidFill>
              <w14:schemeClr w14:val="tx1"/>
            </w14:solidFill>
          </w14:textFill>
        </w:rPr>
        <w:t xml:space="preserve">方应于接到通知后2天内送到采购方指定仓库；对特殊需求的物品及急用物品，在接到采购通知后应于24小时内送达。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 xml:space="preserve">（二）乙方自行安排备用货物，相关仓储费用、物品价格市场波动等引起的所有费用问题由乙方自行承担，甲方的结算价格不变。 </w:t>
      </w:r>
    </w:p>
    <w:p>
      <w:pPr>
        <w:spacing w:line="360" w:lineRule="auto"/>
        <w:ind w:firstLine="480" w:firstLineChars="200"/>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（三）交货地点：深圳市宝安区松岗街道江边社区江碧环保科技创新产业园——工业</w:t>
      </w:r>
      <w:r>
        <w:rPr>
          <w:rFonts w:hint="eastAsia" w:ascii="宋体" w:hAnsi="宋体" w:eastAsia="宋体" w:cs="宋体"/>
          <w:snapToGrid/>
          <w:color w:val="000000" w:themeColor="text1"/>
          <w:kern w:val="2"/>
          <w:sz w:val="24"/>
          <w:szCs w:val="24"/>
          <w:lang w:eastAsia="zh-CN"/>
          <w14:textFill>
            <w14:solidFill>
              <w14:schemeClr w14:val="tx1"/>
            </w14:solidFill>
          </w14:textFill>
        </w:rPr>
        <w:t>废</w:t>
      </w:r>
      <w:r>
        <w:rPr>
          <w:rFonts w:hint="eastAsia" w:ascii="宋体" w:hAnsi="宋体" w:eastAsia="宋体" w:cs="宋体"/>
          <w:snapToGrid/>
          <w:color w:val="000000" w:themeColor="text1"/>
          <w:kern w:val="2"/>
          <w:sz w:val="24"/>
          <w:szCs w:val="24"/>
          <w14:textFill>
            <w14:solidFill>
              <w14:schemeClr w14:val="tx1"/>
            </w14:solidFill>
          </w14:textFill>
        </w:rPr>
        <w:t>水集中处理厂</w:t>
      </w:r>
      <w:r>
        <w:rPr>
          <w:rFonts w:hint="eastAsia" w:ascii="宋体" w:hAnsi="宋体" w:eastAsia="宋体" w:cs="宋体"/>
          <w:snapToGrid/>
          <w:color w:val="000000" w:themeColor="text1"/>
          <w:kern w:val="2"/>
          <w:sz w:val="24"/>
          <w:szCs w:val="24"/>
          <w:lang w:eastAsia="zh-CN"/>
          <w14:textFill>
            <w14:solidFill>
              <w14:schemeClr w14:val="tx1"/>
            </w14:solidFill>
          </w14:textFill>
        </w:rPr>
        <w:t>。</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（四）</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乙</w:t>
      </w:r>
      <w:r>
        <w:rPr>
          <w:rFonts w:hint="eastAsia" w:ascii="宋体" w:hAnsi="宋体" w:eastAsia="宋体" w:cs="宋体"/>
          <w:snapToGrid/>
          <w:color w:val="000000" w:themeColor="text1"/>
          <w:kern w:val="2"/>
          <w:sz w:val="24"/>
          <w:szCs w:val="24"/>
          <w14:textFill>
            <w14:solidFill>
              <w14:schemeClr w14:val="tx1"/>
            </w14:solidFill>
          </w14:textFill>
        </w:rPr>
        <w:t>方承担污水处理药剂的装车、运输、到场卸货服务</w:t>
      </w:r>
      <w:r>
        <w:rPr>
          <w:rFonts w:hint="eastAsia" w:ascii="宋体" w:hAnsi="宋体" w:eastAsia="宋体" w:cs="宋体"/>
          <w:snapToGrid/>
          <w:color w:val="000000" w:themeColor="text1"/>
          <w:kern w:val="2"/>
          <w:sz w:val="24"/>
          <w:szCs w:val="24"/>
          <w:lang w:eastAsia="zh-CN"/>
          <w14:textFill>
            <w14:solidFill>
              <w14:schemeClr w14:val="tx1"/>
            </w14:solidFill>
          </w14:textFill>
        </w:rPr>
        <w:t>，</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并承担货物交付甲方验收前的所有费用及风险</w:t>
      </w:r>
      <w:r>
        <w:rPr>
          <w:rFonts w:hint="eastAsia" w:ascii="宋体" w:hAnsi="宋体" w:eastAsia="宋体" w:cs="宋体"/>
          <w:snapToGrid/>
          <w:color w:val="000000" w:themeColor="text1"/>
          <w:kern w:val="2"/>
          <w:sz w:val="24"/>
          <w:szCs w:val="24"/>
          <w14:textFill>
            <w14:solidFill>
              <w14:schemeClr w14:val="tx1"/>
            </w14:solidFill>
          </w14:textFill>
        </w:rPr>
        <w:t>。货物药剂到达仓库后，在装卸过程中，不同种类药剂要分类堆放，并做好相应保护措施，以免药剂在装卸过程中破损、受损或产生安全问题；另外，氧化性、腐蚀性药剂在装卸过程中应严格遵守有关法律法规要求，在衣着防护上、运输防泄漏上、工具性能上等都要严格满足危化品的储存和运输的要求；如果出现违反危化品运输、装卸安全的问题，</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甲</w:t>
      </w:r>
      <w:r>
        <w:rPr>
          <w:rFonts w:hint="eastAsia" w:ascii="宋体" w:hAnsi="宋体" w:eastAsia="宋体" w:cs="宋体"/>
          <w:snapToGrid/>
          <w:color w:val="000000" w:themeColor="text1"/>
          <w:kern w:val="2"/>
          <w:sz w:val="24"/>
          <w:szCs w:val="24"/>
          <w14:textFill>
            <w14:solidFill>
              <w14:schemeClr w14:val="tx1"/>
            </w14:solidFill>
          </w14:textFill>
        </w:rPr>
        <w:t>方有权拒绝收货，且由此导致产生的监管部门的处罚及对招标方生产的所有刑事及经济责任由</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乙</w:t>
      </w:r>
      <w:r>
        <w:rPr>
          <w:rFonts w:hint="eastAsia" w:ascii="宋体" w:hAnsi="宋体" w:eastAsia="宋体" w:cs="宋体"/>
          <w:snapToGrid/>
          <w:color w:val="000000" w:themeColor="text1"/>
          <w:kern w:val="2"/>
          <w:sz w:val="24"/>
          <w:szCs w:val="24"/>
          <w14:textFill>
            <w14:solidFill>
              <w14:schemeClr w14:val="tx1"/>
            </w14:solidFill>
          </w14:textFill>
        </w:rPr>
        <w:t>方负责</w:t>
      </w:r>
      <w:r>
        <w:rPr>
          <w:rFonts w:hint="eastAsia" w:ascii="宋体" w:hAnsi="宋体" w:eastAsia="宋体" w:cs="宋体"/>
          <w:snapToGrid/>
          <w:color w:val="000000" w:themeColor="text1"/>
          <w:kern w:val="2"/>
          <w:sz w:val="24"/>
          <w:szCs w:val="24"/>
          <w:lang w:eastAsia="zh-CN"/>
          <w14:textFill>
            <w14:solidFill>
              <w14:schemeClr w14:val="tx1"/>
            </w14:solidFill>
          </w14:textFill>
        </w:rPr>
        <w:t>。</w:t>
      </w:r>
    </w:p>
    <w:p>
      <w:pPr>
        <w:widowControl w:val="0"/>
        <w:spacing w:line="360" w:lineRule="auto"/>
        <w:rPr>
          <w:rFonts w:ascii="宋体" w:hAnsi="宋体" w:eastAsia="宋体" w:cs="宋体"/>
          <w:sz w:val="24"/>
          <w:szCs w:val="24"/>
        </w:rPr>
      </w:pPr>
      <w:r>
        <w:rPr>
          <w:rFonts w:hint="eastAsia" w:ascii="宋体" w:hAnsi="宋体" w:eastAsia="宋体" w:cs="宋体"/>
          <w:b/>
          <w:bCs/>
          <w:sz w:val="24"/>
          <w:szCs w:val="24"/>
          <w:lang w:bidi="ar"/>
        </w:rPr>
        <w:t xml:space="preserve">四、付款方式： </w:t>
      </w:r>
    </w:p>
    <w:p>
      <w:pPr>
        <w:widowControl w:val="0"/>
        <w:spacing w:line="360" w:lineRule="auto"/>
        <w:ind w:left="138"/>
        <w:rPr>
          <w:rFonts w:ascii="宋体" w:hAnsi="宋体" w:eastAsia="宋体" w:cs="宋体"/>
          <w:sz w:val="24"/>
          <w:szCs w:val="24"/>
        </w:rPr>
      </w:pPr>
      <w:r>
        <w:rPr>
          <w:rFonts w:hint="eastAsia" w:ascii="宋体" w:hAnsi="宋体" w:eastAsia="宋体" w:cs="宋体"/>
          <w:sz w:val="24"/>
          <w:szCs w:val="24"/>
          <w:lang w:bidi="ar"/>
        </w:rPr>
        <w:t xml:space="preserve">由甲方按下列程序付款： </w:t>
      </w:r>
    </w:p>
    <w:p>
      <w:pPr>
        <w:widowControl w:val="0"/>
        <w:spacing w:before="7" w:line="360" w:lineRule="auto"/>
        <w:ind w:firstLine="480" w:firstLineChars="200"/>
        <w:rPr>
          <w:rFonts w:ascii="宋体" w:hAnsi="宋体" w:eastAsia="宋体" w:cs="宋体"/>
          <w:spacing w:val="-1"/>
          <w:sz w:val="24"/>
          <w:szCs w:val="24"/>
        </w:rPr>
      </w:pPr>
      <w:r>
        <w:rPr>
          <w:rFonts w:hint="eastAsia" w:ascii="宋体" w:hAnsi="宋体" w:eastAsia="宋体" w:cs="宋体"/>
          <w:sz w:val="24"/>
          <w:szCs w:val="24"/>
        </w:rPr>
        <w:t>1、</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lang w:val="en-US" w:eastAsia="zh-CN"/>
        </w:rPr>
        <w:t>结算方式：</w:t>
      </w:r>
      <w:r>
        <w:rPr>
          <w:rFonts w:hint="eastAsia" w:ascii="宋体" w:hAnsi="宋体" w:eastAsia="宋体" w:cs="宋体"/>
          <w:spacing w:val="-1"/>
          <w:sz w:val="24"/>
          <w:szCs w:val="24"/>
        </w:rPr>
        <w:t>合同期内各类化学药剂单项价格固定（包含药剂价款、税费、运输费、装卸费</w:t>
      </w:r>
      <w:r>
        <w:rPr>
          <w:rFonts w:hint="eastAsia" w:ascii="宋体" w:hAnsi="宋体" w:eastAsia="宋体" w:cs="宋体"/>
          <w:spacing w:val="-1"/>
          <w:sz w:val="24"/>
          <w:szCs w:val="24"/>
          <w:lang w:eastAsia="zh-CN"/>
        </w:rPr>
        <w:t>、过磅费</w:t>
      </w:r>
      <w:r>
        <w:rPr>
          <w:rFonts w:hint="eastAsia" w:ascii="宋体" w:hAnsi="宋体" w:eastAsia="宋体" w:cs="宋体"/>
          <w:spacing w:val="-1"/>
          <w:sz w:val="24"/>
          <w:szCs w:val="24"/>
        </w:rPr>
        <w:t>等一切费用），每月费用按实际化学药剂收货量结算。</w:t>
      </w:r>
    </w:p>
    <w:p>
      <w:pPr>
        <w:widowControl w:val="0"/>
        <w:spacing w:before="7"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pacing w:val="-56"/>
          <w:sz w:val="24"/>
          <w:szCs w:val="24"/>
          <w:lang w:bidi="ar"/>
        </w:rPr>
        <w:t xml:space="preserve"> </w:t>
      </w:r>
      <w:r>
        <w:rPr>
          <w:rFonts w:hint="eastAsia" w:ascii="宋体" w:hAnsi="宋体" w:eastAsia="宋体" w:cs="宋体"/>
          <w:sz w:val="24"/>
          <w:szCs w:val="24"/>
          <w:lang w:bidi="ar"/>
        </w:rPr>
        <w:t>乙方凭以下有效文件与甲方结算：</w:t>
      </w:r>
    </w:p>
    <w:p>
      <w:pPr>
        <w:widowControl w:val="0"/>
        <w:spacing w:line="360" w:lineRule="auto"/>
        <w:ind w:left="498"/>
        <w:rPr>
          <w:rFonts w:ascii="宋体" w:hAnsi="宋体" w:eastAsia="宋体" w:cs="宋体"/>
          <w:sz w:val="24"/>
          <w:szCs w:val="24"/>
        </w:rPr>
      </w:pPr>
      <w:r>
        <w:rPr>
          <w:rFonts w:hint="eastAsia" w:ascii="宋体" w:hAnsi="宋体" w:eastAsia="宋体" w:cs="宋体"/>
          <w:spacing w:val="-1"/>
          <w:sz w:val="24"/>
          <w:szCs w:val="24"/>
          <w:lang w:bidi="ar"/>
        </w:rPr>
        <w:t>（1）合同；</w:t>
      </w:r>
      <w:r>
        <w:rPr>
          <w:rFonts w:hint="eastAsia" w:ascii="宋体" w:hAnsi="宋体" w:eastAsia="宋体" w:cs="宋体"/>
          <w:sz w:val="24"/>
          <w:szCs w:val="24"/>
          <w:lang w:bidi="ar"/>
        </w:rPr>
        <w:t xml:space="preserve"> </w:t>
      </w:r>
    </w:p>
    <w:p>
      <w:pPr>
        <w:widowControl w:val="0"/>
        <w:spacing w:line="360" w:lineRule="auto"/>
        <w:ind w:left="498"/>
        <w:rPr>
          <w:rFonts w:ascii="宋体" w:hAnsi="宋体" w:eastAsia="宋体" w:cs="宋体"/>
          <w:sz w:val="24"/>
          <w:szCs w:val="24"/>
        </w:rPr>
      </w:pPr>
      <w:r>
        <w:rPr>
          <w:rFonts w:hint="eastAsia" w:ascii="宋体" w:hAnsi="宋体" w:eastAsia="宋体" w:cs="宋体"/>
          <w:spacing w:val="-1"/>
          <w:sz w:val="24"/>
          <w:szCs w:val="24"/>
          <w:lang w:bidi="ar"/>
        </w:rPr>
        <w:t>（2）乙方开具的</w:t>
      </w:r>
      <w:r>
        <w:rPr>
          <w:rFonts w:hint="eastAsia" w:ascii="宋体" w:hAnsi="宋体" w:eastAsia="宋体" w:cs="宋体"/>
          <w:spacing w:val="-1"/>
          <w:sz w:val="24"/>
          <w:szCs w:val="24"/>
          <w:lang w:val="en-US" w:eastAsia="zh-CN" w:bidi="ar"/>
        </w:rPr>
        <w:t>增值税</w:t>
      </w:r>
      <w:r>
        <w:rPr>
          <w:rFonts w:hint="eastAsia" w:ascii="宋体" w:hAnsi="宋体" w:eastAsia="宋体" w:cs="宋体"/>
          <w:spacing w:val="-1"/>
          <w:sz w:val="24"/>
          <w:szCs w:val="24"/>
          <w:lang w:bidi="ar"/>
        </w:rPr>
        <w:t>发票；</w:t>
      </w:r>
      <w:r>
        <w:rPr>
          <w:rFonts w:hint="eastAsia" w:ascii="宋体" w:hAnsi="宋体" w:eastAsia="宋体" w:cs="宋体"/>
          <w:sz w:val="24"/>
          <w:szCs w:val="24"/>
          <w:lang w:bidi="ar"/>
        </w:rPr>
        <w:t xml:space="preserve"> </w:t>
      </w:r>
    </w:p>
    <w:p>
      <w:pPr>
        <w:widowControl w:val="0"/>
        <w:spacing w:line="360" w:lineRule="auto"/>
        <w:ind w:left="498"/>
        <w:rPr>
          <w:rFonts w:ascii="宋体" w:hAnsi="宋体" w:eastAsia="宋体" w:cs="宋体"/>
          <w:sz w:val="24"/>
          <w:szCs w:val="24"/>
        </w:rPr>
      </w:pPr>
      <w:r>
        <w:rPr>
          <w:rFonts w:hint="eastAsia" w:ascii="宋体" w:hAnsi="宋体" w:eastAsia="宋体" w:cs="宋体"/>
          <w:spacing w:val="-1"/>
          <w:sz w:val="24"/>
          <w:szCs w:val="24"/>
          <w:lang w:bidi="ar"/>
        </w:rPr>
        <w:t>（3）验收凭证；</w:t>
      </w:r>
      <w:r>
        <w:rPr>
          <w:rFonts w:hint="eastAsia" w:ascii="宋体" w:hAnsi="宋体" w:eastAsia="宋体" w:cs="宋体"/>
          <w:sz w:val="24"/>
          <w:szCs w:val="24"/>
          <w:lang w:bidi="ar"/>
        </w:rPr>
        <w:t xml:space="preserve"> </w:t>
      </w:r>
    </w:p>
    <w:p>
      <w:pPr>
        <w:widowControl w:val="0"/>
        <w:kinsoku/>
        <w:autoSpaceDE/>
        <w:autoSpaceDN/>
        <w:adjustRightInd/>
        <w:snapToGrid/>
        <w:spacing w:line="360" w:lineRule="auto"/>
        <w:ind w:firstLine="480" w:firstLineChars="200"/>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3、付款方式：乙方需在</w:t>
      </w:r>
      <w:r>
        <w:rPr>
          <w:rFonts w:hint="eastAsia" w:ascii="宋体" w:hAnsi="宋体" w:eastAsia="宋体" w:cs="宋体"/>
          <w:snapToGrid/>
          <w:color w:val="auto"/>
          <w:kern w:val="2"/>
          <w:sz w:val="24"/>
          <w:szCs w:val="24"/>
          <w:lang w:eastAsia="zh-CN"/>
        </w:rPr>
        <w:t>货物</w:t>
      </w:r>
      <w:r>
        <w:rPr>
          <w:rFonts w:hint="eastAsia" w:ascii="宋体" w:hAnsi="宋体" w:eastAsia="宋体" w:cs="宋体"/>
          <w:snapToGrid/>
          <w:color w:val="auto"/>
          <w:kern w:val="2"/>
          <w:sz w:val="24"/>
          <w:szCs w:val="24"/>
        </w:rPr>
        <w:t xml:space="preserve">结算90天后，凭增值税发票、合同及经双方签字确认的验收凭证和相关收货单据等向甲方申请付款，甲方收到申请后在20个工作日内结清货款。由于乙方未按约定交付货物等原因，甲方有权延迟付款。 </w:t>
      </w:r>
    </w:p>
    <w:p>
      <w:pPr>
        <w:widowControl w:val="0"/>
        <w:kinsoku/>
        <w:autoSpaceDE/>
        <w:autoSpaceDN/>
        <w:adjustRightInd/>
        <w:snapToGrid/>
        <w:spacing w:line="360" w:lineRule="auto"/>
        <w:ind w:firstLine="480" w:firstLineChars="200"/>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4、非因甲方</w:t>
      </w:r>
      <w:r>
        <w:rPr>
          <w:rFonts w:hint="eastAsia" w:ascii="宋体" w:hAnsi="宋体" w:cs="宋体"/>
          <w:snapToGrid/>
          <w:color w:val="auto"/>
          <w:kern w:val="2"/>
          <w:sz w:val="24"/>
          <w:szCs w:val="24"/>
          <w:lang w:val="en-US" w:eastAsia="zh-CN"/>
        </w:rPr>
        <w:t>主观</w:t>
      </w:r>
      <w:r>
        <w:rPr>
          <w:rFonts w:hint="eastAsia" w:ascii="宋体" w:hAnsi="宋体" w:eastAsia="宋体" w:cs="宋体"/>
          <w:snapToGrid/>
          <w:color w:val="auto"/>
          <w:kern w:val="2"/>
          <w:sz w:val="24"/>
          <w:szCs w:val="24"/>
        </w:rPr>
        <w:t>原因导致的延迟支付，甲方不承担任何责任，乙方应继续履行合同义务。</w:t>
      </w:r>
    </w:p>
    <w:p>
      <w:pPr>
        <w:widowControl w:val="0"/>
        <w:spacing w:line="360" w:lineRule="auto"/>
        <w:rPr>
          <w:rFonts w:ascii="宋体" w:hAnsi="宋体" w:eastAsia="宋体" w:cs="宋体"/>
          <w:sz w:val="24"/>
          <w:szCs w:val="24"/>
        </w:rPr>
      </w:pPr>
      <w:r>
        <w:rPr>
          <w:rFonts w:hint="eastAsia" w:ascii="宋体" w:hAnsi="宋体" w:eastAsia="宋体" w:cs="宋体"/>
          <w:b/>
          <w:bCs/>
          <w:sz w:val="24"/>
          <w:szCs w:val="24"/>
          <w:lang w:bidi="ar"/>
        </w:rPr>
        <w:t xml:space="preserve">五、产品规格及验收： </w:t>
      </w:r>
    </w:p>
    <w:p>
      <w:pPr>
        <w:widowControl w:val="0"/>
        <w:kinsoku/>
        <w:autoSpaceDE/>
        <w:autoSpaceDN/>
        <w:adjustRightInd/>
        <w:snapToGrid/>
        <w:spacing w:line="360" w:lineRule="auto"/>
        <w:ind w:firstLine="480" w:firstLineChars="200"/>
        <w:jc w:val="both"/>
        <w:textAlignment w:val="auto"/>
        <w:rPr>
          <w:rFonts w:ascii="宋体" w:hAnsi="宋体" w:eastAsia="宋体" w:cs="宋体"/>
        </w:rPr>
      </w:pPr>
      <w:r>
        <w:rPr>
          <w:rFonts w:hint="eastAsia" w:ascii="宋体" w:hAnsi="宋体" w:eastAsia="宋体" w:cs="宋体"/>
          <w:snapToGrid/>
          <w:color w:val="000000" w:themeColor="text1"/>
          <w:kern w:val="2"/>
          <w:sz w:val="24"/>
          <w:szCs w:val="24"/>
          <w:highlight w:val="none"/>
          <w14:textFill>
            <w14:solidFill>
              <w14:schemeClr w14:val="tx1"/>
            </w14:solidFill>
          </w14:textFill>
        </w:rPr>
        <w:t>1</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乙方交付货物时一并药剂的相关技术要求、质量文件、标准规格及使用说明书等做为附件提供给甲方</w:t>
      </w:r>
      <w:r>
        <w:rPr>
          <w:rFonts w:hint="eastAsia" w:ascii="宋体" w:hAnsi="宋体" w:eastAsia="宋体" w:cs="宋体"/>
          <w:snapToGrid/>
          <w:color w:val="000000" w:themeColor="text1"/>
          <w:kern w:val="2"/>
          <w:sz w:val="24"/>
          <w:szCs w:val="24"/>
          <w14:textFill>
            <w14:solidFill>
              <w14:schemeClr w14:val="tx1"/>
            </w14:solidFill>
          </w14:textFill>
        </w:rPr>
        <w:t>。</w:t>
      </w:r>
    </w:p>
    <w:p>
      <w:pPr>
        <w:spacing w:line="360" w:lineRule="auto"/>
        <w:ind w:firstLine="480" w:firstLineChars="200"/>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2、甲方</w:t>
      </w:r>
      <w:r>
        <w:rPr>
          <w:rFonts w:hint="eastAsia" w:ascii="宋体" w:hAnsi="宋体" w:eastAsia="宋体" w:cs="宋体"/>
          <w:snapToGrid/>
          <w:color w:val="auto"/>
          <w:kern w:val="2"/>
          <w:sz w:val="24"/>
          <w:szCs w:val="24"/>
        </w:rPr>
        <w:t>根据货物清单进行实物验收，对品名、价格、规格、型号、质量和数量、生产日期、有效期等当面点清并验收，凡不符合要求的，</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rPr>
        <w:t>工作人员有权拒绝收货。验收合格后</w:t>
      </w:r>
      <w:r>
        <w:rPr>
          <w:rFonts w:hint="eastAsia" w:ascii="宋体" w:hAnsi="宋体" w:eastAsia="宋体" w:cs="宋体"/>
          <w:snapToGrid/>
          <w:color w:val="auto"/>
          <w:kern w:val="2"/>
          <w:sz w:val="24"/>
          <w:szCs w:val="24"/>
          <w:lang w:val="en-US" w:eastAsia="zh-CN"/>
        </w:rPr>
        <w:t>甲乙</w:t>
      </w:r>
      <w:r>
        <w:rPr>
          <w:rFonts w:hint="eastAsia" w:ascii="宋体" w:hAnsi="宋体" w:eastAsia="宋体" w:cs="宋体"/>
          <w:snapToGrid/>
          <w:color w:val="auto"/>
          <w:kern w:val="2"/>
          <w:sz w:val="24"/>
          <w:szCs w:val="24"/>
        </w:rPr>
        <w:t xml:space="preserve">双方工作人员签字确认后送货入库。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3、</w:t>
      </w:r>
      <w:r>
        <w:rPr>
          <w:rFonts w:hint="eastAsia" w:ascii="宋体" w:hAnsi="宋体" w:eastAsia="宋体" w:cs="宋体"/>
          <w:snapToGrid/>
          <w:color w:val="auto"/>
          <w:kern w:val="2"/>
          <w:sz w:val="24"/>
          <w:szCs w:val="24"/>
        </w:rPr>
        <w:t>验收按国家有关的规定、规范进行。如发现所交付的货物有短缺、次品、损坏或其它不符合本合同规定之情形者，</w:t>
      </w:r>
      <w:r>
        <w:rPr>
          <w:rFonts w:hint="eastAsia" w:ascii="宋体" w:hAnsi="宋体" w:eastAsia="宋体" w:cs="宋体"/>
          <w:snapToGrid/>
          <w:color w:val="auto"/>
          <w:kern w:val="2"/>
          <w:sz w:val="24"/>
          <w:szCs w:val="24"/>
          <w:lang w:val="en-US" w:eastAsia="zh-CN"/>
        </w:rPr>
        <w:t>甲</w:t>
      </w:r>
      <w:r>
        <w:rPr>
          <w:rFonts w:hint="eastAsia" w:ascii="宋体" w:hAnsi="宋体" w:eastAsia="宋体" w:cs="宋体"/>
          <w:snapToGrid/>
          <w:color w:val="auto"/>
          <w:kern w:val="2"/>
          <w:sz w:val="24"/>
          <w:szCs w:val="24"/>
        </w:rPr>
        <w:t>方应做出详尽的现场记录，双方签字确认。现场记录可用作补充作为缺失和更换的有效证据。由此产生费用由</w:t>
      </w:r>
      <w:r>
        <w:rPr>
          <w:rFonts w:hint="eastAsia" w:ascii="宋体" w:hAnsi="宋体" w:eastAsia="宋体" w:cs="宋体"/>
          <w:snapToGrid/>
          <w:color w:val="auto"/>
          <w:kern w:val="2"/>
          <w:sz w:val="24"/>
          <w:szCs w:val="24"/>
          <w:lang w:val="en-US" w:eastAsia="zh-CN"/>
        </w:rPr>
        <w:t>乙</w:t>
      </w:r>
      <w:r>
        <w:rPr>
          <w:rFonts w:hint="eastAsia" w:ascii="宋体" w:hAnsi="宋体" w:eastAsia="宋体" w:cs="宋体"/>
          <w:snapToGrid/>
          <w:color w:val="auto"/>
          <w:kern w:val="2"/>
          <w:sz w:val="24"/>
          <w:szCs w:val="24"/>
        </w:rPr>
        <w:t xml:space="preserve">方承担。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4、</w:t>
      </w:r>
      <w:r>
        <w:rPr>
          <w:rFonts w:hint="eastAsia" w:ascii="宋体" w:hAnsi="宋体" w:eastAsia="宋体" w:cs="宋体"/>
          <w:snapToGrid/>
          <w:color w:val="auto"/>
          <w:kern w:val="2"/>
          <w:sz w:val="24"/>
          <w:szCs w:val="24"/>
        </w:rPr>
        <w:t>双方对质量有争议，可将货物送至具有资质的质量检测机构检测，若检测结果合格，检测费用由甲方支付；若检测结果不合格，则检测费用由乙方支付。</w:t>
      </w:r>
    </w:p>
    <w:p>
      <w:pPr>
        <w:widowControl w:val="0"/>
        <w:spacing w:line="360" w:lineRule="auto"/>
        <w:jc w:val="both"/>
        <w:rPr>
          <w:rFonts w:ascii="宋体" w:hAnsi="宋体" w:eastAsia="宋体" w:cs="宋体"/>
          <w:b/>
          <w:bCs/>
          <w:spacing w:val="2"/>
          <w:sz w:val="24"/>
          <w:szCs w:val="24"/>
          <w:lang w:bidi="ar"/>
        </w:rPr>
      </w:pPr>
      <w:r>
        <w:rPr>
          <w:rFonts w:hint="eastAsia" w:ascii="宋体" w:hAnsi="宋体" w:eastAsia="宋体" w:cs="宋体"/>
          <w:b/>
          <w:bCs/>
          <w:spacing w:val="2"/>
          <w:sz w:val="24"/>
          <w:szCs w:val="24"/>
          <w:lang w:bidi="ar"/>
        </w:rPr>
        <w:t>六、售后服务</w:t>
      </w:r>
    </w:p>
    <w:p>
      <w:pPr>
        <w:spacing w:line="360" w:lineRule="auto"/>
        <w:ind w:firstLine="480" w:firstLineChars="200"/>
        <w:rPr>
          <w:rFonts w:eastAsia="宋体" w:cs="Times New Roman"/>
          <w:snapToGrid/>
          <w:color w:val="000000" w:themeColor="text1"/>
          <w:kern w:val="2"/>
          <w:sz w:val="24"/>
          <w:szCs w:val="24"/>
          <w14:textFill>
            <w14:solidFill>
              <w14:schemeClr w14:val="tx1"/>
            </w14:solidFill>
          </w14:textFill>
        </w:rPr>
      </w:pPr>
      <w:r>
        <w:rPr>
          <w:rFonts w:hint="default" w:ascii="宋体" w:hAnsi="宋体" w:eastAsia="宋体" w:cs="宋体"/>
          <w:snapToGrid/>
          <w:color w:val="auto"/>
          <w:kern w:val="2"/>
          <w:sz w:val="24"/>
          <w:szCs w:val="24"/>
        </w:rPr>
        <w:t>1、</w:t>
      </w:r>
      <w:r>
        <w:rPr>
          <w:rFonts w:hint="eastAsia" w:eastAsia="宋体" w:cs="Times New Roman"/>
          <w:snapToGrid/>
          <w:color w:val="000000" w:themeColor="text1"/>
          <w:kern w:val="2"/>
          <w:sz w:val="24"/>
          <w:szCs w:val="24"/>
          <w14:textFill>
            <w14:solidFill>
              <w14:schemeClr w14:val="tx1"/>
            </w14:solidFill>
          </w14:textFill>
        </w:rPr>
        <w:t>乙方需保证所供药剂在有效期内</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lang w:val="en-US" w:eastAsia="zh-CN"/>
          <w14:textFill>
            <w14:solidFill>
              <w14:schemeClr w14:val="tx1"/>
            </w14:solidFill>
          </w14:textFill>
        </w:rPr>
        <w:t>并确保供应时间距离药剂有效期截止时间至少为半年</w:t>
      </w:r>
      <w:r>
        <w:rPr>
          <w:rFonts w:hint="eastAsia" w:eastAsia="宋体" w:cs="Times New Roman"/>
          <w:snapToGrid/>
          <w:color w:val="000000" w:themeColor="text1"/>
          <w:kern w:val="2"/>
          <w:sz w:val="24"/>
          <w:szCs w:val="24"/>
          <w14:textFill>
            <w14:solidFill>
              <w14:schemeClr w14:val="tx1"/>
            </w14:solidFill>
          </w14:textFill>
        </w:rPr>
        <w:t>。</w:t>
      </w:r>
    </w:p>
    <w:p>
      <w:pPr>
        <w:spacing w:line="360" w:lineRule="auto"/>
        <w:ind w:firstLine="480" w:firstLineChars="200"/>
        <w:rPr>
          <w:rFonts w:eastAsia="宋体" w:cs="Times New Roman"/>
          <w:snapToGrid/>
          <w:color w:val="000000" w:themeColor="text1"/>
          <w:kern w:val="2"/>
          <w:sz w:val="24"/>
          <w:szCs w:val="24"/>
          <w14:textFill>
            <w14:solidFill>
              <w14:schemeClr w14:val="tx1"/>
            </w14:solidFill>
          </w14:textFill>
        </w:rPr>
      </w:pPr>
      <w:r>
        <w:rPr>
          <w:rFonts w:hint="eastAsia" w:ascii="宋体" w:hAnsi="宋体" w:eastAsia="宋体" w:cs="宋体"/>
          <w:snapToGrid/>
          <w:color w:val="auto"/>
          <w:kern w:val="2"/>
          <w:sz w:val="24"/>
          <w:szCs w:val="24"/>
        </w:rPr>
        <w:t>2、</w:t>
      </w:r>
      <w:r>
        <w:rPr>
          <w:rFonts w:hint="eastAsia" w:cs="Times New Roman"/>
          <w:snapToGrid/>
          <w:color w:val="000000" w:themeColor="text1"/>
          <w:kern w:val="2"/>
          <w:sz w:val="24"/>
          <w:szCs w:val="24"/>
          <w:lang w:val="en-US" w:eastAsia="zh-CN"/>
          <w14:textFill>
            <w14:solidFill>
              <w14:schemeClr w14:val="tx1"/>
            </w14:solidFill>
          </w14:textFill>
        </w:rPr>
        <w:t>乙</w:t>
      </w:r>
      <w:r>
        <w:rPr>
          <w:rFonts w:hint="eastAsia" w:eastAsia="宋体" w:cs="Times New Roman"/>
          <w:snapToGrid/>
          <w:color w:val="000000" w:themeColor="text1"/>
          <w:kern w:val="2"/>
          <w:sz w:val="24"/>
          <w:szCs w:val="24"/>
          <w14:textFill>
            <w14:solidFill>
              <w14:schemeClr w14:val="tx1"/>
            </w14:solidFill>
          </w14:textFill>
        </w:rPr>
        <w:t>方有责任确保药剂的质量，如发生质量问题，采购方有权追究中标方的责任。</w:t>
      </w:r>
    </w:p>
    <w:p>
      <w:pPr>
        <w:widowControl/>
        <w:spacing w:line="360" w:lineRule="auto"/>
        <w:ind w:firstLine="0" w:firstLineChars="0"/>
        <w:jc w:val="left"/>
        <w:rPr>
          <w:rFonts w:ascii="宋体" w:hAnsi="宋体" w:eastAsia="宋体" w:cs="宋体"/>
          <w:sz w:val="24"/>
          <w:szCs w:val="24"/>
        </w:rPr>
      </w:pPr>
      <w:r>
        <w:rPr>
          <w:rFonts w:hint="eastAsia" w:ascii="宋体" w:hAnsi="宋体" w:eastAsia="宋体" w:cs="宋体"/>
          <w:b/>
          <w:bCs/>
          <w:spacing w:val="2"/>
          <w:sz w:val="24"/>
          <w:szCs w:val="24"/>
          <w:lang w:bidi="ar"/>
        </w:rPr>
        <w:t>七</w:t>
      </w:r>
      <w:r>
        <w:rPr>
          <w:rFonts w:hint="eastAsia" w:ascii="宋体" w:hAnsi="宋体" w:eastAsia="宋体" w:cs="宋体"/>
          <w:b/>
          <w:bCs/>
          <w:sz w:val="24"/>
          <w:szCs w:val="24"/>
          <w:lang w:bidi="ar"/>
        </w:rPr>
        <w:t>、</w:t>
      </w:r>
      <w:r>
        <w:rPr>
          <w:rFonts w:hint="eastAsia" w:ascii="宋体" w:hAnsi="宋体" w:eastAsia="宋体" w:cs="宋体"/>
          <w:b/>
          <w:bCs/>
          <w:spacing w:val="2"/>
          <w:sz w:val="24"/>
          <w:szCs w:val="24"/>
          <w:lang w:bidi="ar"/>
        </w:rPr>
        <w:t>违</w:t>
      </w:r>
      <w:r>
        <w:rPr>
          <w:rFonts w:hint="eastAsia" w:ascii="宋体" w:hAnsi="宋体" w:eastAsia="宋体" w:cs="宋体"/>
          <w:b/>
          <w:bCs/>
          <w:sz w:val="24"/>
          <w:szCs w:val="24"/>
          <w:lang w:bidi="ar"/>
        </w:rPr>
        <w:t>约</w:t>
      </w:r>
      <w:r>
        <w:rPr>
          <w:rFonts w:hint="eastAsia" w:ascii="宋体" w:hAnsi="宋体" w:eastAsia="宋体" w:cs="宋体"/>
          <w:b/>
          <w:bCs/>
          <w:spacing w:val="2"/>
          <w:sz w:val="24"/>
          <w:szCs w:val="24"/>
          <w:lang w:bidi="ar"/>
        </w:rPr>
        <w:t>责</w:t>
      </w:r>
      <w:r>
        <w:rPr>
          <w:rFonts w:hint="eastAsia" w:ascii="宋体" w:hAnsi="宋体" w:eastAsia="宋体" w:cs="宋体"/>
          <w:b/>
          <w:bCs/>
          <w:sz w:val="24"/>
          <w:szCs w:val="24"/>
          <w:lang w:bidi="ar"/>
        </w:rPr>
        <w:t>任与</w:t>
      </w:r>
      <w:r>
        <w:rPr>
          <w:rFonts w:hint="eastAsia" w:ascii="宋体" w:hAnsi="宋体" w:eastAsia="宋体" w:cs="宋体"/>
          <w:b/>
          <w:bCs/>
          <w:spacing w:val="2"/>
          <w:sz w:val="24"/>
          <w:szCs w:val="24"/>
          <w:lang w:bidi="ar"/>
        </w:rPr>
        <w:t>赔</w:t>
      </w:r>
      <w:r>
        <w:rPr>
          <w:rFonts w:hint="eastAsia" w:ascii="宋体" w:hAnsi="宋体" w:eastAsia="宋体" w:cs="宋体"/>
          <w:b/>
          <w:bCs/>
          <w:sz w:val="24"/>
          <w:szCs w:val="24"/>
          <w:lang w:bidi="ar"/>
        </w:rPr>
        <w:t>偿</w:t>
      </w:r>
      <w:r>
        <w:rPr>
          <w:rFonts w:hint="eastAsia" w:ascii="宋体" w:hAnsi="宋体" w:eastAsia="宋体" w:cs="宋体"/>
          <w:b/>
          <w:bCs/>
          <w:spacing w:val="2"/>
          <w:sz w:val="24"/>
          <w:szCs w:val="24"/>
          <w:lang w:bidi="ar"/>
        </w:rPr>
        <w:t>损</w:t>
      </w:r>
      <w:r>
        <w:rPr>
          <w:rFonts w:hint="eastAsia" w:ascii="宋体" w:hAnsi="宋体" w:eastAsia="宋体" w:cs="宋体"/>
          <w:b/>
          <w:bCs/>
          <w:spacing w:val="1"/>
          <w:sz w:val="24"/>
          <w:szCs w:val="24"/>
          <w:lang w:bidi="ar"/>
        </w:rPr>
        <w:t>失</w:t>
      </w:r>
      <w:r>
        <w:rPr>
          <w:rFonts w:hint="eastAsia" w:ascii="宋体" w:hAnsi="宋体" w:eastAsia="宋体" w:cs="宋体"/>
          <w:b/>
          <w:bCs/>
          <w:sz w:val="24"/>
          <w:szCs w:val="24"/>
          <w:lang w:bidi="ar"/>
        </w:rPr>
        <w:t xml:space="preserve"> </w:t>
      </w:r>
    </w:p>
    <w:p>
      <w:pPr>
        <w:widowControl w:val="0"/>
        <w:spacing w:line="355" w:lineRule="auto"/>
        <w:ind w:left="138" w:right="119"/>
        <w:jc w:val="both"/>
        <w:rPr>
          <w:rFonts w:ascii="宋体" w:hAnsi="宋体" w:eastAsia="宋体" w:cs="宋体"/>
          <w:sz w:val="24"/>
          <w:szCs w:val="24"/>
          <w:lang w:bidi="ar"/>
        </w:rPr>
      </w:pPr>
      <w:r>
        <w:rPr>
          <w:rFonts w:hint="eastAsia" w:ascii="宋体" w:hAnsi="宋体" w:eastAsia="宋体" w:cs="宋体"/>
          <w:sz w:val="24"/>
          <w:szCs w:val="24"/>
          <w:lang w:bidi="ar"/>
        </w:rPr>
        <w:t>1、</w:t>
      </w:r>
      <w:r>
        <w:rPr>
          <w:rFonts w:hint="eastAsia" w:ascii="宋体" w:hAnsi="宋体" w:eastAsia="宋体" w:cs="宋体"/>
          <w:spacing w:val="-56"/>
          <w:sz w:val="24"/>
          <w:szCs w:val="24"/>
          <w:lang w:bidi="ar"/>
        </w:rPr>
        <w:t xml:space="preserve"> </w:t>
      </w:r>
      <w:r>
        <w:rPr>
          <w:rFonts w:hint="eastAsia" w:ascii="宋体" w:hAnsi="宋体" w:eastAsia="宋体" w:cs="宋体"/>
          <w:sz w:val="24"/>
          <w:szCs w:val="24"/>
          <w:lang w:bidi="ar"/>
        </w:rPr>
        <w:t>合同签订后10天内，乙方需向甲方提交履约担保，履约保证金为合同</w:t>
      </w:r>
      <w:r>
        <w:rPr>
          <w:rFonts w:hint="eastAsia" w:ascii="宋体" w:hAnsi="宋体" w:eastAsia="宋体" w:cs="宋体"/>
          <w:sz w:val="24"/>
          <w:szCs w:val="24"/>
          <w:lang w:val="en-US" w:eastAsia="zh-CN" w:bidi="ar"/>
        </w:rPr>
        <w:t>金额</w:t>
      </w:r>
      <w:r>
        <w:rPr>
          <w:rFonts w:hint="eastAsia" w:ascii="宋体" w:hAnsi="宋体" w:eastAsia="宋体" w:cs="宋体"/>
          <w:sz w:val="24"/>
          <w:szCs w:val="24"/>
          <w:lang w:bidi="ar"/>
        </w:rPr>
        <w:t xml:space="preserve">的10%。 </w:t>
      </w:r>
    </w:p>
    <w:p>
      <w:pPr>
        <w:widowControl w:val="0"/>
        <w:spacing w:line="355" w:lineRule="auto"/>
        <w:ind w:left="138" w:right="119"/>
        <w:jc w:val="both"/>
        <w:rPr>
          <w:rFonts w:ascii="宋体" w:hAnsi="宋体" w:eastAsia="宋体" w:cs="宋体"/>
          <w:sz w:val="24"/>
          <w:szCs w:val="24"/>
          <w:lang w:bidi="ar"/>
        </w:rPr>
      </w:pPr>
      <w:r>
        <w:rPr>
          <w:rFonts w:hint="eastAsia" w:ascii="宋体" w:hAnsi="宋体" w:eastAsia="宋体" w:cs="宋体"/>
          <w:sz w:val="24"/>
          <w:szCs w:val="24"/>
          <w:lang w:bidi="ar"/>
        </w:rPr>
        <w:t>2、乙方不得以产品、运输价格调整等任何因素，借故拖延，暂缓或是停止对甲方的订单执行。若因特殊情况导致货物不能按预订时间到达时，乙方应及时与甲方取得联系，向甲方汇报并进行处理。若甲方调查中发现有不合实际的情况，视为乙方未能按本合同规定的交货时间交付货物，甲方有权要求乙方按照合同约定承担违约责任。</w:t>
      </w:r>
    </w:p>
    <w:p>
      <w:pPr>
        <w:widowControl w:val="0"/>
        <w:spacing w:line="355" w:lineRule="auto"/>
        <w:ind w:left="138" w:right="112"/>
        <w:jc w:val="both"/>
        <w:rPr>
          <w:rFonts w:ascii="宋体" w:hAnsi="宋体" w:eastAsia="宋体" w:cs="宋体"/>
          <w:sz w:val="24"/>
          <w:szCs w:val="24"/>
        </w:rPr>
      </w:pPr>
      <w:r>
        <w:rPr>
          <w:rFonts w:hint="eastAsia" w:ascii="宋体" w:hAnsi="宋体" w:eastAsia="宋体" w:cs="宋体"/>
          <w:sz w:val="24"/>
          <w:szCs w:val="24"/>
          <w:lang w:bidi="ar"/>
        </w:rPr>
        <w:t>3、</w:t>
      </w:r>
      <w:r>
        <w:rPr>
          <w:rFonts w:hint="eastAsia" w:ascii="宋体" w:hAnsi="宋体" w:eastAsia="宋体" w:cs="宋体"/>
          <w:spacing w:val="-56"/>
          <w:sz w:val="24"/>
          <w:szCs w:val="24"/>
          <w:lang w:bidi="ar"/>
        </w:rPr>
        <w:t xml:space="preserve"> </w:t>
      </w:r>
      <w:r>
        <w:rPr>
          <w:rFonts w:hint="eastAsia" w:ascii="宋体" w:hAnsi="宋体" w:eastAsia="宋体" w:cs="宋体"/>
          <w:sz w:val="24"/>
          <w:szCs w:val="24"/>
          <w:lang w:bidi="ar"/>
        </w:rPr>
        <w:t>若乙方未能按本合同规定的交货时间交付货物</w:t>
      </w:r>
      <w:r>
        <w:rPr>
          <w:rFonts w:hint="eastAsia" w:ascii="宋体" w:hAnsi="宋体" w:eastAsia="宋体" w:cs="宋体"/>
          <w:sz w:val="24"/>
          <w:szCs w:val="24"/>
          <w:lang w:val="en-US" w:eastAsia="zh-CN" w:bidi="ar"/>
        </w:rPr>
        <w:t>或未如期支付履约保证金的，</w:t>
      </w:r>
      <w:r>
        <w:rPr>
          <w:rFonts w:hint="eastAsia" w:ascii="宋体" w:hAnsi="宋体" w:eastAsia="宋体" w:cs="宋体"/>
          <w:sz w:val="24"/>
          <w:szCs w:val="24"/>
          <w:lang w:bidi="ar"/>
        </w:rPr>
        <w:t>从逾期之日起每日按本合同</w:t>
      </w:r>
      <w:r>
        <w:rPr>
          <w:rFonts w:hint="eastAsia" w:ascii="宋体" w:hAnsi="宋体" w:eastAsia="宋体" w:cs="宋体"/>
          <w:sz w:val="24"/>
          <w:szCs w:val="24"/>
          <w:lang w:val="en-US" w:eastAsia="zh-CN" w:bidi="ar"/>
        </w:rPr>
        <w:t>金额1</w:t>
      </w:r>
      <w:r>
        <w:rPr>
          <w:rFonts w:hint="eastAsia" w:ascii="宋体" w:hAnsi="宋体" w:eastAsia="宋体" w:cs="宋体"/>
          <w:sz w:val="24"/>
          <w:szCs w:val="24"/>
          <w:lang w:bidi="ar"/>
        </w:rPr>
        <w:t>%的数额向甲方支付违约金；逾期</w:t>
      </w: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天以上（含</w:t>
      </w: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天）的，甲方有权终止合同</w:t>
      </w:r>
      <w:r>
        <w:rPr>
          <w:rFonts w:hint="eastAsia" w:ascii="宋体" w:hAnsi="宋体" w:eastAsia="宋体" w:cs="宋体"/>
          <w:spacing w:val="-2"/>
          <w:sz w:val="24"/>
          <w:szCs w:val="24"/>
          <w:lang w:bidi="ar"/>
        </w:rPr>
        <w:t>，乙方除应按前述要求承担违约金外，</w:t>
      </w:r>
      <w:r>
        <w:rPr>
          <w:rFonts w:hint="eastAsia" w:ascii="宋体" w:hAnsi="宋体" w:eastAsia="宋体" w:cs="宋体"/>
          <w:sz w:val="24"/>
          <w:szCs w:val="24"/>
          <w:lang w:bidi="ar"/>
        </w:rPr>
        <w:t xml:space="preserve">还应赔偿由此给甲方造成的全部经济损失。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 xml:space="preserve">4、若乙方未能按照合同约定提供服务，甲方有权要求乙方限期整改；乙方拒绝整改或整改后仍不满足合同约定的，甲方有权终止合同，乙方除应承担合同总价10%的违约金外，还应赔偿由此给甲方造成的全部经济损失。 </w:t>
      </w:r>
    </w:p>
    <w:p>
      <w:pPr>
        <w:widowControl w:val="0"/>
        <w:spacing w:line="355" w:lineRule="auto"/>
        <w:ind w:left="138" w:right="120"/>
        <w:jc w:val="both"/>
        <w:rPr>
          <w:rFonts w:ascii="宋体" w:hAnsi="宋体" w:eastAsia="宋体" w:cs="宋体"/>
          <w:sz w:val="24"/>
          <w:szCs w:val="24"/>
        </w:rPr>
      </w:pPr>
      <w:r>
        <w:rPr>
          <w:rFonts w:hint="eastAsia" w:ascii="宋体" w:hAnsi="宋体" w:eastAsia="宋体" w:cs="宋体"/>
          <w:sz w:val="24"/>
          <w:szCs w:val="24"/>
          <w:lang w:bidi="ar"/>
        </w:rPr>
        <w:t>5、</w:t>
      </w:r>
      <w:r>
        <w:rPr>
          <w:rFonts w:hint="eastAsia" w:ascii="宋体" w:hAnsi="宋体" w:eastAsia="宋体" w:cs="宋体"/>
          <w:spacing w:val="-56"/>
          <w:sz w:val="24"/>
          <w:szCs w:val="24"/>
          <w:lang w:bidi="ar"/>
        </w:rPr>
        <w:t xml:space="preserve"> </w:t>
      </w:r>
      <w:r>
        <w:rPr>
          <w:rFonts w:hint="eastAsia" w:ascii="宋体" w:hAnsi="宋体" w:eastAsia="宋体" w:cs="宋体"/>
          <w:sz w:val="24"/>
          <w:szCs w:val="24"/>
          <w:lang w:bidi="ar"/>
        </w:rPr>
        <w:t xml:space="preserve">合同期间，乙方及乙方雇佣人员，因运输途中、装卸等发生安全事故的，所造成的人身或财产等一切损失，均由乙方自行负责，与甲方无关。 </w:t>
      </w:r>
    </w:p>
    <w:p>
      <w:pPr>
        <w:widowControl w:val="0"/>
        <w:spacing w:line="352" w:lineRule="auto"/>
        <w:ind w:left="138" w:right="120"/>
        <w:jc w:val="both"/>
        <w:rPr>
          <w:rFonts w:hint="eastAsia" w:ascii="宋体" w:hAnsi="宋体" w:eastAsia="宋体" w:cs="宋体"/>
          <w:sz w:val="24"/>
          <w:szCs w:val="24"/>
          <w:lang w:bidi="ar"/>
        </w:rPr>
      </w:pPr>
      <w:r>
        <w:rPr>
          <w:rFonts w:hint="eastAsia" w:ascii="宋体" w:hAnsi="宋体" w:eastAsia="宋体" w:cs="宋体"/>
          <w:sz w:val="24"/>
          <w:szCs w:val="24"/>
          <w:lang w:bidi="ar"/>
        </w:rPr>
        <w:t>6、</w:t>
      </w:r>
      <w:r>
        <w:rPr>
          <w:rFonts w:hint="eastAsia" w:ascii="宋体" w:hAnsi="宋体" w:eastAsia="宋体" w:cs="宋体"/>
          <w:spacing w:val="-56"/>
          <w:sz w:val="24"/>
          <w:szCs w:val="24"/>
          <w:lang w:bidi="ar"/>
        </w:rPr>
        <w:t xml:space="preserve"> </w:t>
      </w:r>
      <w:r>
        <w:rPr>
          <w:rFonts w:hint="eastAsia" w:ascii="宋体" w:hAnsi="宋体" w:eastAsia="宋体" w:cs="宋体"/>
          <w:sz w:val="24"/>
          <w:szCs w:val="24"/>
          <w:lang w:bidi="ar"/>
        </w:rPr>
        <w:t>经政府权威部门鉴定为质量问题引起的事故，责任在乙方，甲方有权追究乙方承担</w:t>
      </w:r>
      <w:r>
        <w:rPr>
          <w:rFonts w:hint="eastAsia" w:ascii="宋体" w:hAnsi="宋体" w:eastAsia="宋体" w:cs="宋体"/>
          <w:spacing w:val="-1"/>
          <w:sz w:val="24"/>
          <w:szCs w:val="24"/>
          <w:lang w:bidi="ar"/>
        </w:rPr>
        <w:t>事故造成的责任。</w:t>
      </w:r>
      <w:r>
        <w:rPr>
          <w:rFonts w:hint="eastAsia" w:ascii="宋体" w:hAnsi="宋体" w:eastAsia="宋体" w:cs="宋体"/>
          <w:sz w:val="24"/>
          <w:szCs w:val="24"/>
          <w:lang w:bidi="ar"/>
        </w:rPr>
        <w:t xml:space="preserve">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、乙方应加强管理，有以下行为，经调查属实的，甲方将立即解除本合同</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没收履约保证金并追究乙方相关责任</w:t>
      </w:r>
      <w:r>
        <w:rPr>
          <w:rFonts w:hint="eastAsia" w:ascii="宋体" w:hAnsi="宋体" w:eastAsia="宋体" w:cs="宋体"/>
          <w:sz w:val="24"/>
          <w:szCs w:val="24"/>
          <w:lang w:bidi="ar"/>
        </w:rPr>
        <w:t xml:space="preserve">：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 xml:space="preserve">（1）弄虚作假，提供虚假材料取得中标供应资格的；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（2）</w:t>
      </w:r>
      <w:r>
        <w:rPr>
          <w:rFonts w:ascii="宋体" w:hAnsi="宋体" w:eastAsia="宋体" w:cs="宋体"/>
          <w:sz w:val="24"/>
          <w:szCs w:val="24"/>
          <w:lang w:bidi="ar"/>
        </w:rPr>
        <w:t>中标供应项目</w:t>
      </w:r>
      <w:r>
        <w:rPr>
          <w:rFonts w:hint="eastAsia" w:ascii="宋体" w:hAnsi="宋体" w:eastAsia="宋体" w:cs="宋体"/>
          <w:sz w:val="24"/>
          <w:szCs w:val="24"/>
          <w:lang w:bidi="ar"/>
        </w:rPr>
        <w:t xml:space="preserve">有转包、分包行为的；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 xml:space="preserve">（3）经营情况发生重大变更，已经不具备承接中标供应项目的能力的；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 xml:space="preserve">（4）无正当理由拒绝履行合同供货的；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 xml:space="preserve">（5）有行贿、给回扣等不正当竞争行为的；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（6）因货物质量原因导致安全事故的</w:t>
      </w:r>
      <w:r>
        <w:rPr>
          <w:rFonts w:hint="eastAsia" w:ascii="宋体" w:hAnsi="宋体" w:eastAsia="宋体" w:cs="宋体"/>
          <w:sz w:val="24"/>
          <w:szCs w:val="24"/>
          <w:lang w:val="en-US" w:eastAsia="zh-CN" w:bidi="ar"/>
        </w:rPr>
        <w:t>或环保事故的</w:t>
      </w:r>
      <w:r>
        <w:rPr>
          <w:rFonts w:hint="eastAsia" w:ascii="宋体" w:hAnsi="宋体" w:eastAsia="宋体" w:cs="宋体"/>
          <w:sz w:val="24"/>
          <w:szCs w:val="24"/>
          <w:lang w:bidi="ar"/>
        </w:rPr>
        <w:t xml:space="preserve">； </w:t>
      </w:r>
    </w:p>
    <w:p>
      <w:pPr>
        <w:widowControl w:val="0"/>
        <w:spacing w:line="355" w:lineRule="auto"/>
        <w:ind w:left="138" w:right="120"/>
        <w:jc w:val="both"/>
        <w:rPr>
          <w:rFonts w:ascii="宋体" w:hAnsi="宋体" w:eastAsia="宋体" w:cs="宋体"/>
          <w:sz w:val="24"/>
          <w:szCs w:val="24"/>
          <w:lang w:bidi="ar"/>
        </w:rPr>
      </w:pPr>
      <w:r>
        <w:rPr>
          <w:rFonts w:hint="eastAsia" w:ascii="宋体" w:hAnsi="宋体" w:eastAsia="宋体" w:cs="宋体"/>
          <w:sz w:val="24"/>
          <w:szCs w:val="24"/>
          <w:lang w:bidi="ar"/>
        </w:rPr>
        <w:t xml:space="preserve">（7）所供应货物存在故意假冒伪劣行为的； </w:t>
      </w:r>
    </w:p>
    <w:p>
      <w:pPr>
        <w:widowControl w:val="0"/>
        <w:spacing w:line="355" w:lineRule="auto"/>
        <w:ind w:left="138" w:right="120"/>
        <w:jc w:val="both"/>
        <w:rPr>
          <w:rFonts w:hint="eastAsia" w:ascii="宋体" w:hAnsi="宋体" w:eastAsia="宋体" w:cs="宋体"/>
          <w:sz w:val="24"/>
          <w:szCs w:val="24"/>
          <w:lang w:bidi="ar"/>
        </w:rPr>
      </w:pPr>
      <w:r>
        <w:rPr>
          <w:rFonts w:hint="eastAsia" w:ascii="宋体" w:hAnsi="宋体" w:eastAsia="宋体" w:cs="宋体"/>
          <w:sz w:val="24"/>
          <w:szCs w:val="24"/>
          <w:lang w:bidi="ar"/>
        </w:rPr>
        <w:t xml:space="preserve">（8）有其他违法违纪行为的。 </w:t>
      </w:r>
    </w:p>
    <w:p>
      <w:pPr>
        <w:widowControl w:val="0"/>
        <w:spacing w:line="355" w:lineRule="auto"/>
        <w:ind w:left="138" w:right="120"/>
        <w:jc w:val="both"/>
        <w:rPr>
          <w:rFonts w:hint="default" w:eastAsia="宋体"/>
          <w:lang w:val="en-US" w:eastAsia="zh-CN"/>
        </w:rPr>
      </w:pPr>
      <w:r>
        <w:rPr>
          <w:rFonts w:hint="eastAsia" w:ascii="宋体" w:hAnsi="宋体" w:eastAsia="宋体" w:cs="宋体"/>
          <w:sz w:val="24"/>
          <w:szCs w:val="24"/>
          <w:lang w:val="en-US" w:eastAsia="zh-CN" w:bidi="ar"/>
        </w:rPr>
        <w:t>8、违约金在双方结算时一并清算、支付。</w:t>
      </w:r>
    </w:p>
    <w:p>
      <w:pPr>
        <w:widowControl w:val="0"/>
        <w:snapToGrid/>
        <w:spacing w:before="6" w:line="360" w:lineRule="auto"/>
        <w:rPr>
          <w:rFonts w:ascii="宋体" w:hAnsi="宋体" w:eastAsia="宋体" w:cs="宋体"/>
          <w:b/>
          <w:bCs/>
          <w:sz w:val="16"/>
          <w:szCs w:val="16"/>
        </w:rPr>
      </w:pPr>
      <w:r>
        <w:rPr>
          <w:rFonts w:hint="eastAsia" w:ascii="宋体" w:hAnsi="宋体" w:eastAsia="宋体" w:cs="宋体"/>
          <w:b/>
          <w:bCs/>
          <w:spacing w:val="2"/>
          <w:sz w:val="24"/>
          <w:szCs w:val="24"/>
          <w:lang w:bidi="ar"/>
        </w:rPr>
        <w:t>八</w:t>
      </w:r>
      <w:r>
        <w:rPr>
          <w:rFonts w:hint="eastAsia" w:ascii="宋体" w:hAnsi="宋体" w:eastAsia="宋体" w:cs="宋体"/>
          <w:b/>
          <w:bCs/>
          <w:sz w:val="24"/>
          <w:szCs w:val="24"/>
          <w:lang w:bidi="ar"/>
        </w:rPr>
        <w:t>、</w:t>
      </w:r>
      <w:r>
        <w:rPr>
          <w:rFonts w:hint="eastAsia" w:ascii="宋体" w:hAnsi="宋体" w:eastAsia="宋体" w:cs="宋体"/>
          <w:b/>
          <w:bCs/>
          <w:spacing w:val="2"/>
          <w:sz w:val="24"/>
          <w:szCs w:val="24"/>
          <w:lang w:bidi="ar"/>
        </w:rPr>
        <w:t>安</w:t>
      </w:r>
      <w:r>
        <w:rPr>
          <w:rFonts w:hint="eastAsia" w:ascii="宋体" w:hAnsi="宋体" w:eastAsia="宋体" w:cs="宋体"/>
          <w:b/>
          <w:bCs/>
          <w:sz w:val="24"/>
          <w:szCs w:val="24"/>
          <w:lang w:bidi="ar"/>
        </w:rPr>
        <w:t>全</w:t>
      </w:r>
      <w:r>
        <w:rPr>
          <w:rFonts w:hint="eastAsia" w:ascii="宋体" w:hAnsi="宋体" w:eastAsia="宋体" w:cs="宋体"/>
          <w:b/>
          <w:bCs/>
          <w:spacing w:val="2"/>
          <w:sz w:val="24"/>
          <w:szCs w:val="24"/>
          <w:lang w:bidi="ar"/>
        </w:rPr>
        <w:t>条</w:t>
      </w:r>
      <w:r>
        <w:rPr>
          <w:rFonts w:hint="eastAsia" w:ascii="宋体" w:hAnsi="宋体" w:eastAsia="宋体" w:cs="宋体"/>
          <w:b/>
          <w:bCs/>
          <w:sz w:val="24"/>
          <w:szCs w:val="24"/>
          <w:lang w:bidi="ar"/>
        </w:rPr>
        <w:t xml:space="preserve">款 </w:t>
      </w:r>
      <w:r>
        <w:rPr>
          <w:rFonts w:hint="eastAsia" w:ascii="宋体" w:hAnsi="宋体" w:eastAsia="宋体" w:cs="宋体"/>
          <w:b/>
          <w:bCs/>
          <w:sz w:val="16"/>
          <w:szCs w:val="16"/>
          <w:lang w:bidi="ar"/>
        </w:rPr>
        <w:t xml:space="preserve"> </w:t>
      </w:r>
    </w:p>
    <w:p>
      <w:pPr>
        <w:widowControl w:val="0"/>
        <w:spacing w:before="0" w:line="355" w:lineRule="auto"/>
        <w:ind w:left="138" w:right="120" w:firstLine="480" w:firstLineChars="200"/>
        <w:jc w:val="both"/>
        <w:rPr>
          <w:rFonts w:hint="eastAsia" w:ascii="宋体" w:hAnsi="宋体" w:eastAsia="宋体" w:cs="宋体"/>
          <w:sz w:val="24"/>
          <w:szCs w:val="24"/>
          <w:lang w:bidi="ar"/>
        </w:rPr>
      </w:pPr>
      <w:r>
        <w:rPr>
          <w:rFonts w:hint="eastAsia" w:ascii="宋体" w:hAnsi="宋体" w:eastAsia="宋体" w:cs="宋体"/>
          <w:b w:val="0"/>
          <w:bCs w:val="0"/>
          <w:sz w:val="24"/>
          <w:szCs w:val="24"/>
          <w:lang w:bidi="ar"/>
        </w:rPr>
        <w:t>乙方车辆运输及装卸货过程中必须符合《危险化学品安全管理条例》</w:t>
      </w:r>
      <w:r>
        <w:rPr>
          <w:rFonts w:hint="eastAsia" w:ascii="宋体" w:hAnsi="宋体" w:eastAsia="宋体" w:cs="宋体"/>
          <w:b w:val="0"/>
          <w:bCs w:val="0"/>
          <w:sz w:val="24"/>
          <w:szCs w:val="24"/>
          <w:lang w:val="en-US" w:eastAsia="zh-CN" w:bidi="ar"/>
        </w:rPr>
        <w:t>等国家</w:t>
      </w:r>
      <w:r>
        <w:rPr>
          <w:rFonts w:hint="eastAsia" w:ascii="宋体" w:hAnsi="宋体" w:eastAsia="宋体" w:cs="宋体"/>
          <w:b w:val="0"/>
          <w:bCs w:val="0"/>
          <w:sz w:val="24"/>
          <w:szCs w:val="24"/>
          <w:lang w:bidi="ar"/>
        </w:rPr>
        <w:t>的有关</w:t>
      </w:r>
      <w:r>
        <w:rPr>
          <w:rFonts w:hint="eastAsia" w:ascii="宋体" w:hAnsi="宋体" w:eastAsia="宋体" w:cs="宋体"/>
          <w:b w:val="0"/>
          <w:bCs w:val="0"/>
          <w:sz w:val="24"/>
          <w:szCs w:val="24"/>
          <w:lang w:val="en-US" w:eastAsia="zh-CN" w:bidi="ar"/>
        </w:rPr>
        <w:t>法律法规及相关标准</w:t>
      </w:r>
      <w:r>
        <w:rPr>
          <w:rFonts w:hint="eastAsia" w:ascii="宋体" w:hAnsi="宋体" w:eastAsia="宋体" w:cs="宋体"/>
          <w:b w:val="0"/>
          <w:bCs w:val="0"/>
          <w:sz w:val="24"/>
          <w:szCs w:val="24"/>
          <w:lang w:bidi="ar"/>
        </w:rPr>
        <w:t>；若有违反</w:t>
      </w:r>
      <w:r>
        <w:rPr>
          <w:rFonts w:hint="eastAsia" w:ascii="宋体" w:hAnsi="宋体" w:eastAsia="宋体" w:cs="宋体"/>
          <w:b w:val="0"/>
          <w:bCs w:val="0"/>
          <w:sz w:val="24"/>
          <w:szCs w:val="24"/>
          <w:lang w:eastAsia="zh-CN" w:bidi="ar"/>
        </w:rPr>
        <w:t>，</w:t>
      </w:r>
      <w:r>
        <w:rPr>
          <w:rFonts w:hint="eastAsia" w:ascii="宋体" w:hAnsi="宋体" w:eastAsia="宋体" w:cs="宋体"/>
          <w:b w:val="0"/>
          <w:bCs w:val="0"/>
          <w:sz w:val="24"/>
          <w:szCs w:val="24"/>
          <w:lang w:bidi="ar"/>
        </w:rPr>
        <w:t>出现的一切安全问题乙方全权负责。</w:t>
      </w:r>
      <w:r>
        <w:rPr>
          <w:rFonts w:hint="eastAsia" w:ascii="宋体" w:hAnsi="宋体" w:eastAsia="宋体" w:cs="宋体"/>
          <w:sz w:val="24"/>
          <w:szCs w:val="24"/>
          <w:lang w:bidi="ar"/>
        </w:rPr>
        <w:t xml:space="preserve"> </w:t>
      </w:r>
    </w:p>
    <w:p>
      <w:pPr>
        <w:widowControl w:val="0"/>
        <w:spacing w:line="360" w:lineRule="auto"/>
        <w:rPr>
          <w:rFonts w:ascii="宋体" w:hAnsi="宋体" w:eastAsia="宋体" w:cs="宋体"/>
          <w:sz w:val="24"/>
          <w:szCs w:val="24"/>
        </w:rPr>
      </w:pPr>
      <w:r>
        <w:rPr>
          <w:rFonts w:hint="eastAsia" w:ascii="宋体" w:hAnsi="宋体" w:eastAsia="宋体" w:cs="宋体"/>
          <w:b/>
          <w:bCs/>
          <w:spacing w:val="1"/>
          <w:sz w:val="24"/>
          <w:szCs w:val="24"/>
          <w:lang w:bidi="ar"/>
        </w:rPr>
        <w:t>九、</w:t>
      </w:r>
      <w:r>
        <w:rPr>
          <w:rFonts w:hint="eastAsia" w:ascii="宋体" w:hAnsi="宋体" w:eastAsia="宋体" w:cs="宋体"/>
          <w:b/>
          <w:bCs/>
          <w:sz w:val="24"/>
          <w:szCs w:val="24"/>
          <w:lang w:bidi="ar"/>
        </w:rPr>
        <w:t xml:space="preserve">争议的解决 </w:t>
      </w:r>
    </w:p>
    <w:p>
      <w:pPr>
        <w:widowControl w:val="0"/>
        <w:spacing w:line="360" w:lineRule="auto"/>
        <w:ind w:left="138" w:firstLine="480"/>
        <w:rPr>
          <w:rFonts w:ascii="宋体" w:hAnsi="宋体" w:eastAsia="宋体" w:cs="宋体"/>
          <w:sz w:val="24"/>
          <w:szCs w:val="24"/>
        </w:rPr>
      </w:pPr>
      <w:r>
        <w:rPr>
          <w:rFonts w:hint="eastAsia" w:ascii="宋体" w:hAnsi="宋体" w:eastAsia="宋体" w:cs="宋体"/>
          <w:sz w:val="24"/>
          <w:szCs w:val="24"/>
          <w:lang w:bidi="ar"/>
        </w:rPr>
        <w:t>针对合同执行过程中发生的任何争议</w:t>
      </w:r>
      <w:r>
        <w:rPr>
          <w:rFonts w:hint="eastAsia" w:ascii="宋体" w:hAnsi="宋体" w:eastAsia="宋体" w:cs="宋体"/>
          <w:spacing w:val="-24"/>
          <w:sz w:val="24"/>
          <w:szCs w:val="24"/>
          <w:lang w:bidi="ar"/>
        </w:rPr>
        <w:t>，</w:t>
      </w:r>
      <w:r>
        <w:rPr>
          <w:rFonts w:hint="eastAsia" w:ascii="宋体" w:hAnsi="宋体" w:eastAsia="宋体" w:cs="宋体"/>
          <w:sz w:val="24"/>
          <w:szCs w:val="24"/>
          <w:lang w:bidi="ar"/>
        </w:rPr>
        <w:t>双方首先通过友好协商解决</w:t>
      </w:r>
      <w:r>
        <w:rPr>
          <w:rFonts w:hint="eastAsia" w:ascii="宋体" w:hAnsi="宋体" w:eastAsia="宋体" w:cs="宋体"/>
          <w:spacing w:val="-24"/>
          <w:sz w:val="24"/>
          <w:szCs w:val="24"/>
          <w:lang w:bidi="ar"/>
        </w:rPr>
        <w:t>，</w:t>
      </w:r>
      <w:r>
        <w:rPr>
          <w:rFonts w:hint="eastAsia" w:ascii="宋体" w:hAnsi="宋体" w:eastAsia="宋体" w:cs="宋体"/>
          <w:sz w:val="24"/>
          <w:szCs w:val="24"/>
          <w:lang w:bidi="ar"/>
        </w:rPr>
        <w:t xml:space="preserve">如双方不能通过友好协商解决，甲、乙双方一致同意向甲方所在地人民法院提起诉讼。 </w:t>
      </w:r>
    </w:p>
    <w:p>
      <w:pPr>
        <w:widowControl w:val="0"/>
        <w:spacing w:line="360" w:lineRule="auto"/>
        <w:rPr>
          <w:rFonts w:ascii="宋体" w:hAnsi="宋体" w:eastAsia="宋体" w:cs="宋体"/>
          <w:sz w:val="24"/>
          <w:szCs w:val="24"/>
        </w:rPr>
      </w:pPr>
      <w:r>
        <w:rPr>
          <w:rFonts w:hint="eastAsia" w:ascii="宋体" w:hAnsi="宋体" w:eastAsia="宋体" w:cs="宋体"/>
          <w:b/>
          <w:bCs/>
          <w:spacing w:val="2"/>
          <w:sz w:val="24"/>
          <w:szCs w:val="24"/>
          <w:lang w:bidi="ar"/>
        </w:rPr>
        <w:t>十</w:t>
      </w:r>
      <w:r>
        <w:rPr>
          <w:rFonts w:hint="eastAsia" w:ascii="宋体" w:hAnsi="宋体" w:eastAsia="宋体" w:cs="宋体"/>
          <w:b/>
          <w:bCs/>
          <w:sz w:val="24"/>
          <w:szCs w:val="24"/>
          <w:lang w:bidi="ar"/>
        </w:rPr>
        <w:t>、</w:t>
      </w:r>
      <w:r>
        <w:rPr>
          <w:rFonts w:hint="eastAsia" w:ascii="宋体" w:hAnsi="宋体" w:eastAsia="宋体" w:cs="宋体"/>
          <w:b/>
          <w:bCs/>
          <w:spacing w:val="2"/>
          <w:sz w:val="24"/>
          <w:szCs w:val="24"/>
          <w:lang w:bidi="ar"/>
        </w:rPr>
        <w:t>不</w:t>
      </w:r>
      <w:r>
        <w:rPr>
          <w:rFonts w:hint="eastAsia" w:ascii="宋体" w:hAnsi="宋体" w:eastAsia="宋体" w:cs="宋体"/>
          <w:b/>
          <w:bCs/>
          <w:sz w:val="24"/>
          <w:szCs w:val="24"/>
          <w:lang w:bidi="ar"/>
        </w:rPr>
        <w:t>可</w:t>
      </w:r>
      <w:r>
        <w:rPr>
          <w:rFonts w:hint="eastAsia" w:ascii="宋体" w:hAnsi="宋体" w:eastAsia="宋体" w:cs="宋体"/>
          <w:b/>
          <w:bCs/>
          <w:spacing w:val="2"/>
          <w:sz w:val="24"/>
          <w:szCs w:val="24"/>
          <w:lang w:bidi="ar"/>
        </w:rPr>
        <w:t>抗</w:t>
      </w:r>
      <w:r>
        <w:rPr>
          <w:rFonts w:hint="eastAsia" w:ascii="宋体" w:hAnsi="宋体" w:eastAsia="宋体" w:cs="宋体"/>
          <w:b/>
          <w:bCs/>
          <w:sz w:val="24"/>
          <w:szCs w:val="24"/>
          <w:lang w:bidi="ar"/>
        </w:rPr>
        <w:t xml:space="preserve">力 </w:t>
      </w:r>
    </w:p>
    <w:p>
      <w:pPr>
        <w:widowControl w:val="0"/>
        <w:spacing w:before="126" w:line="360" w:lineRule="auto"/>
        <w:ind w:left="138" w:right="153" w:firstLine="480"/>
        <w:jc w:val="both"/>
        <w:rPr>
          <w:rFonts w:ascii="宋体" w:hAnsi="宋体" w:eastAsia="宋体" w:cs="宋体"/>
          <w:sz w:val="24"/>
          <w:szCs w:val="24"/>
        </w:rPr>
      </w:pPr>
      <w:r>
        <w:rPr>
          <w:rFonts w:hint="eastAsia" w:ascii="宋体" w:hAnsi="宋体" w:eastAsia="宋体" w:cs="宋体"/>
          <w:sz w:val="24"/>
          <w:szCs w:val="24"/>
          <w:lang w:bidi="ar"/>
        </w:rPr>
        <w:t>由于法律规定的不可抗力原因</w:t>
      </w:r>
      <w:r>
        <w:rPr>
          <w:rFonts w:hint="eastAsia" w:ascii="宋体" w:hAnsi="宋体" w:eastAsia="宋体" w:cs="宋体"/>
          <w:spacing w:val="0"/>
          <w:sz w:val="24"/>
          <w:szCs w:val="24"/>
          <w:lang w:bidi="ar"/>
        </w:rPr>
        <w:t>以及</w:t>
      </w:r>
      <w:r>
        <w:rPr>
          <w:rFonts w:hint="eastAsia" w:ascii="宋体" w:hAnsi="宋体" w:eastAsia="宋体" w:cs="宋体"/>
          <w:sz w:val="24"/>
          <w:szCs w:val="24"/>
          <w:lang w:bidi="ar"/>
        </w:rPr>
        <w:t>双方无法控制而造成其未能履行其合同义务</w:t>
      </w:r>
      <w:r>
        <w:rPr>
          <w:rFonts w:hint="eastAsia" w:ascii="宋体" w:hAnsi="宋体" w:eastAsia="宋体" w:cs="宋体"/>
          <w:spacing w:val="-24"/>
          <w:sz w:val="24"/>
          <w:szCs w:val="24"/>
          <w:lang w:bidi="ar"/>
        </w:rPr>
        <w:t>，</w:t>
      </w:r>
      <w:r>
        <w:rPr>
          <w:rFonts w:hint="eastAsia" w:ascii="宋体" w:hAnsi="宋体" w:eastAsia="宋体" w:cs="宋体"/>
          <w:sz w:val="24"/>
          <w:szCs w:val="24"/>
          <w:lang w:bidi="ar"/>
        </w:rPr>
        <w:t>该方不承担因此而造成的违约责任</w:t>
      </w:r>
      <w:r>
        <w:rPr>
          <w:rFonts w:hint="eastAsia" w:ascii="宋体" w:hAnsi="宋体" w:eastAsia="宋体" w:cs="宋体"/>
          <w:spacing w:val="-24"/>
          <w:sz w:val="24"/>
          <w:szCs w:val="24"/>
          <w:lang w:bidi="ar"/>
        </w:rPr>
        <w:t>。</w:t>
      </w:r>
      <w:r>
        <w:rPr>
          <w:rFonts w:hint="eastAsia" w:ascii="宋体" w:hAnsi="宋体" w:eastAsia="宋体" w:cs="宋体"/>
          <w:sz w:val="24"/>
          <w:szCs w:val="24"/>
          <w:lang w:bidi="ar"/>
        </w:rPr>
        <w:t>因不可抗力而导致合同履行</w:t>
      </w:r>
      <w:r>
        <w:rPr>
          <w:rFonts w:hint="eastAsia" w:ascii="宋体" w:hAnsi="宋体" w:eastAsia="宋体" w:cs="宋体"/>
          <w:sz w:val="24"/>
          <w:szCs w:val="24"/>
          <w:lang w:val="en-US" w:eastAsia="zh-CN" w:bidi="ar"/>
        </w:rPr>
        <w:t>中断</w:t>
      </w:r>
      <w:r>
        <w:rPr>
          <w:rFonts w:hint="eastAsia" w:ascii="宋体" w:hAnsi="宋体" w:eastAsia="宋体" w:cs="宋体"/>
          <w:spacing w:val="-24"/>
          <w:sz w:val="24"/>
          <w:szCs w:val="24"/>
          <w:lang w:bidi="ar"/>
        </w:rPr>
        <w:t>，</w:t>
      </w:r>
      <w:r>
        <w:rPr>
          <w:rFonts w:hint="eastAsia" w:ascii="宋体" w:hAnsi="宋体" w:eastAsia="宋体" w:cs="宋体"/>
          <w:sz w:val="24"/>
          <w:szCs w:val="24"/>
          <w:lang w:bidi="ar"/>
        </w:rPr>
        <w:t>合同期限应作相</w:t>
      </w:r>
      <w:r>
        <w:rPr>
          <w:rFonts w:hint="eastAsia" w:ascii="宋体" w:hAnsi="宋体" w:eastAsia="宋体" w:cs="宋体"/>
          <w:sz w:val="24"/>
          <w:szCs w:val="24"/>
          <w:lang w:val="en-US" w:eastAsia="zh-CN" w:bidi="ar"/>
        </w:rPr>
        <w:t>应</w:t>
      </w:r>
      <w:r>
        <w:rPr>
          <w:rFonts w:hint="eastAsia" w:ascii="宋体" w:hAnsi="宋体" w:eastAsia="宋体" w:cs="宋体"/>
          <w:sz w:val="24"/>
          <w:szCs w:val="24"/>
          <w:lang w:bidi="ar"/>
        </w:rPr>
        <w:t>的</w:t>
      </w:r>
      <w:r>
        <w:rPr>
          <w:rFonts w:hint="eastAsia" w:ascii="宋体" w:hAnsi="宋体" w:eastAsia="宋体" w:cs="宋体"/>
          <w:spacing w:val="-1"/>
          <w:sz w:val="24"/>
          <w:szCs w:val="24"/>
          <w:lang w:bidi="ar"/>
        </w:rPr>
        <w:t>延长。</w:t>
      </w:r>
      <w:r>
        <w:rPr>
          <w:rFonts w:hint="eastAsia" w:ascii="宋体" w:hAnsi="宋体" w:eastAsia="宋体" w:cs="宋体"/>
          <w:sz w:val="24"/>
          <w:szCs w:val="24"/>
          <w:lang w:bidi="ar"/>
        </w:rPr>
        <w:t xml:space="preserve"> </w:t>
      </w:r>
    </w:p>
    <w:p>
      <w:pPr>
        <w:widowControl w:val="0"/>
        <w:snapToGrid/>
        <w:spacing w:line="360" w:lineRule="auto"/>
        <w:rPr>
          <w:rFonts w:ascii="宋体" w:hAnsi="宋体" w:eastAsia="宋体" w:cs="宋体"/>
          <w:sz w:val="24"/>
          <w:szCs w:val="24"/>
          <w:lang w:bidi="ar"/>
        </w:rPr>
      </w:pPr>
      <w:r>
        <w:rPr>
          <w:rFonts w:hint="eastAsia" w:ascii="宋体" w:hAnsi="宋体" w:eastAsia="宋体" w:cs="宋体"/>
          <w:b/>
          <w:bCs/>
          <w:sz w:val="24"/>
          <w:szCs w:val="24"/>
          <w:lang w:bidi="ar"/>
        </w:rPr>
        <w:t>十一、</w:t>
      </w:r>
      <w:r>
        <w:rPr>
          <w:rFonts w:hint="eastAsia" w:ascii="宋体" w:hAnsi="宋体" w:eastAsia="宋体" w:cs="宋体"/>
          <w:b/>
          <w:bCs/>
          <w:spacing w:val="2"/>
          <w:sz w:val="24"/>
          <w:szCs w:val="24"/>
          <w:lang w:bidi="ar"/>
        </w:rPr>
        <w:t>合</w:t>
      </w:r>
      <w:r>
        <w:rPr>
          <w:rFonts w:hint="eastAsia" w:ascii="宋体" w:hAnsi="宋体" w:eastAsia="宋体" w:cs="宋体"/>
          <w:b/>
          <w:bCs/>
          <w:sz w:val="24"/>
          <w:szCs w:val="24"/>
          <w:lang w:bidi="ar"/>
        </w:rPr>
        <w:t>同</w:t>
      </w:r>
      <w:r>
        <w:rPr>
          <w:rFonts w:hint="eastAsia" w:ascii="宋体" w:hAnsi="宋体" w:eastAsia="宋体" w:cs="宋体"/>
          <w:b/>
          <w:bCs/>
          <w:spacing w:val="2"/>
          <w:sz w:val="24"/>
          <w:szCs w:val="24"/>
          <w:lang w:bidi="ar"/>
        </w:rPr>
        <w:t>期</w:t>
      </w:r>
      <w:r>
        <w:rPr>
          <w:rFonts w:hint="eastAsia" w:ascii="宋体" w:hAnsi="宋体" w:eastAsia="宋体" w:cs="宋体"/>
          <w:b/>
          <w:bCs/>
          <w:sz w:val="24"/>
          <w:szCs w:val="24"/>
          <w:lang w:bidi="ar"/>
        </w:rPr>
        <w:t>限</w:t>
      </w:r>
    </w:p>
    <w:p>
      <w:pPr>
        <w:widowControl w:val="0"/>
        <w:spacing w:line="360" w:lineRule="auto"/>
        <w:ind w:left="138" w:firstLine="476" w:firstLineChars="200"/>
        <w:rPr>
          <w:rFonts w:ascii="宋体" w:hAnsi="宋体" w:eastAsia="宋体" w:cs="宋体"/>
          <w:spacing w:val="-1"/>
          <w:sz w:val="24"/>
          <w:szCs w:val="24"/>
          <w:lang w:bidi="ar"/>
        </w:rPr>
      </w:pPr>
      <w:r>
        <w:rPr>
          <w:rFonts w:hint="eastAsia" w:ascii="宋体" w:hAnsi="宋体" w:eastAsia="宋体" w:cs="宋体"/>
          <w:spacing w:val="-1"/>
          <w:sz w:val="24"/>
          <w:szCs w:val="24"/>
          <w:lang w:bidi="ar"/>
        </w:rPr>
        <w:t>甲乙双方约定合同期为</w:t>
      </w:r>
      <w:r>
        <w:rPr>
          <w:rFonts w:hint="eastAsia" w:ascii="宋体" w:hAnsi="宋体" w:eastAsia="宋体" w:cs="宋体"/>
          <w:sz w:val="24"/>
          <w:szCs w:val="24"/>
          <w:lang w:bidi="ar"/>
        </w:rPr>
        <w:t xml:space="preserve">    年    月    日至    年    月    日</w:t>
      </w:r>
      <w:r>
        <w:rPr>
          <w:rFonts w:hint="eastAsia" w:ascii="宋体" w:hAnsi="宋体" w:eastAsia="宋体" w:cs="宋体"/>
          <w:spacing w:val="-1"/>
          <w:sz w:val="24"/>
          <w:szCs w:val="24"/>
          <w:lang w:bidi="ar"/>
        </w:rPr>
        <w:t>。</w:t>
      </w:r>
    </w:p>
    <w:p>
      <w:pPr>
        <w:widowControl w:val="0"/>
        <w:spacing w:line="360" w:lineRule="auto"/>
        <w:rPr>
          <w:rFonts w:ascii="宋体" w:hAnsi="宋体" w:eastAsia="宋体" w:cs="宋体"/>
          <w:sz w:val="24"/>
          <w:szCs w:val="24"/>
        </w:rPr>
      </w:pPr>
      <w:r>
        <w:rPr>
          <w:rFonts w:hint="eastAsia" w:ascii="宋体" w:hAnsi="宋体" w:eastAsia="宋体" w:cs="宋体"/>
          <w:b/>
          <w:bCs/>
          <w:sz w:val="24"/>
          <w:szCs w:val="24"/>
          <w:lang w:bidi="ar"/>
        </w:rPr>
        <w:t>十二、</w:t>
      </w:r>
      <w:r>
        <w:rPr>
          <w:rFonts w:hint="eastAsia" w:ascii="宋体" w:hAnsi="宋体" w:eastAsia="宋体" w:cs="宋体"/>
          <w:b/>
          <w:bCs/>
          <w:spacing w:val="1"/>
          <w:sz w:val="24"/>
          <w:szCs w:val="24"/>
          <w:lang w:bidi="ar"/>
        </w:rPr>
        <w:t>保密原则</w:t>
      </w:r>
      <w:r>
        <w:rPr>
          <w:rFonts w:hint="eastAsia" w:ascii="宋体" w:hAnsi="宋体" w:eastAsia="宋体" w:cs="宋体"/>
          <w:b/>
          <w:bCs/>
          <w:sz w:val="24"/>
          <w:szCs w:val="24"/>
          <w:lang w:bidi="ar"/>
        </w:rPr>
        <w:t xml:space="preserve"> </w:t>
      </w:r>
    </w:p>
    <w:p>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bidi="ar"/>
        </w:rPr>
        <w:t>双方应负责就各自收到对方的安全、操作及其他资料对任何第三方保密，并同意仅将资料用于合同目的。本条款约定的保密义务长期有限，不因合同终止、履行完毕等原因而失效。</w:t>
      </w:r>
    </w:p>
    <w:p>
      <w:pPr>
        <w:widowControl w:val="0"/>
        <w:spacing w:line="360" w:lineRule="auto"/>
        <w:rPr>
          <w:rFonts w:ascii="宋体" w:hAnsi="宋体" w:eastAsia="宋体" w:cs="宋体"/>
          <w:sz w:val="24"/>
          <w:szCs w:val="24"/>
        </w:rPr>
      </w:pPr>
      <w:r>
        <w:rPr>
          <w:rFonts w:hint="eastAsia" w:ascii="宋体" w:hAnsi="宋体" w:eastAsia="宋体" w:cs="宋体"/>
          <w:b/>
          <w:bCs/>
          <w:sz w:val="24"/>
          <w:szCs w:val="24"/>
          <w:lang w:bidi="ar"/>
        </w:rPr>
        <w:t>十三、</w:t>
      </w:r>
      <w:r>
        <w:rPr>
          <w:rFonts w:hint="eastAsia" w:ascii="宋体" w:hAnsi="宋体" w:eastAsia="宋体" w:cs="宋体"/>
          <w:b/>
          <w:bCs/>
          <w:spacing w:val="1"/>
          <w:sz w:val="24"/>
          <w:szCs w:val="24"/>
          <w:lang w:bidi="ar"/>
        </w:rPr>
        <w:t>费用</w:t>
      </w:r>
      <w:r>
        <w:rPr>
          <w:rFonts w:hint="eastAsia" w:ascii="宋体" w:hAnsi="宋体" w:eastAsia="宋体" w:cs="宋体"/>
          <w:b/>
          <w:bCs/>
          <w:sz w:val="24"/>
          <w:szCs w:val="24"/>
          <w:lang w:bidi="ar"/>
        </w:rPr>
        <w:t xml:space="preserve"> </w:t>
      </w:r>
    </w:p>
    <w:p>
      <w:pPr>
        <w:widowControl w:val="0"/>
        <w:spacing w:line="360" w:lineRule="auto"/>
        <w:ind w:left="138" w:right="132" w:firstLine="480"/>
        <w:rPr>
          <w:rFonts w:ascii="宋体" w:hAnsi="宋体" w:eastAsia="宋体" w:cs="宋体"/>
          <w:spacing w:val="26"/>
          <w:sz w:val="24"/>
          <w:szCs w:val="24"/>
          <w:lang w:bidi="ar"/>
        </w:rPr>
      </w:pPr>
      <w:r>
        <w:rPr>
          <w:rFonts w:hint="eastAsia" w:ascii="宋体" w:hAnsi="宋体" w:eastAsia="宋体" w:cs="宋体"/>
          <w:spacing w:val="-1"/>
          <w:sz w:val="24"/>
          <w:szCs w:val="24"/>
          <w:lang w:bidi="ar"/>
        </w:rPr>
        <w:t>本合同期内产品单价固定不变。</w:t>
      </w:r>
      <w:r>
        <w:rPr>
          <w:rFonts w:hint="eastAsia" w:ascii="宋体" w:hAnsi="宋体" w:eastAsia="宋体" w:cs="宋体"/>
          <w:spacing w:val="26"/>
          <w:sz w:val="24"/>
          <w:szCs w:val="24"/>
          <w:lang w:bidi="ar"/>
        </w:rPr>
        <w:t xml:space="preserve"> </w:t>
      </w:r>
    </w:p>
    <w:p>
      <w:pPr>
        <w:widowControl w:val="0"/>
        <w:spacing w:line="360" w:lineRule="auto"/>
        <w:ind w:right="4701"/>
        <w:rPr>
          <w:rFonts w:ascii="宋体" w:hAnsi="宋体" w:eastAsia="宋体" w:cs="宋体"/>
          <w:sz w:val="24"/>
          <w:szCs w:val="24"/>
        </w:rPr>
      </w:pPr>
      <w:r>
        <w:rPr>
          <w:rFonts w:hint="eastAsia" w:ascii="宋体" w:hAnsi="宋体" w:eastAsia="宋体" w:cs="宋体"/>
          <w:b/>
          <w:bCs/>
          <w:sz w:val="24"/>
          <w:szCs w:val="24"/>
          <w:lang w:bidi="ar"/>
        </w:rPr>
        <w:t>十四、</w:t>
      </w:r>
      <w:r>
        <w:rPr>
          <w:rFonts w:hint="eastAsia" w:ascii="宋体" w:hAnsi="宋体" w:eastAsia="宋体" w:cs="宋体"/>
          <w:b/>
          <w:bCs/>
          <w:spacing w:val="1"/>
          <w:sz w:val="24"/>
          <w:szCs w:val="24"/>
          <w:lang w:bidi="ar"/>
        </w:rPr>
        <w:t>其它</w:t>
      </w:r>
      <w:r>
        <w:rPr>
          <w:rFonts w:hint="eastAsia" w:ascii="宋体" w:hAnsi="宋体" w:eastAsia="宋体" w:cs="宋体"/>
          <w:b/>
          <w:bCs/>
          <w:sz w:val="24"/>
          <w:szCs w:val="24"/>
          <w:lang w:bidi="ar"/>
        </w:rPr>
        <w:t xml:space="preserve"> </w:t>
      </w:r>
    </w:p>
    <w:p>
      <w:pPr>
        <w:widowControl w:val="0"/>
        <w:spacing w:line="360" w:lineRule="auto"/>
        <w:ind w:left="138"/>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w:t>
      </w:r>
      <w:r>
        <w:rPr>
          <w:rFonts w:hint="eastAsia" w:ascii="宋体" w:hAnsi="宋体" w:eastAsia="宋体" w:cs="宋体"/>
          <w:sz w:val="24"/>
          <w:szCs w:val="24"/>
          <w:lang w:val="en-US" w:eastAsia="zh-CN"/>
        </w:rPr>
        <w:t>项目招标文件、乙方投标文件</w:t>
      </w:r>
      <w:r>
        <w:rPr>
          <w:rFonts w:hint="eastAsia" w:ascii="宋体" w:hAnsi="宋体" w:eastAsia="宋体" w:cs="宋体"/>
          <w:sz w:val="24"/>
          <w:szCs w:val="24"/>
        </w:rPr>
        <w:t>均为合同附件，与本合同具有同等效力。若附件与合同内容</w:t>
      </w:r>
      <w:r>
        <w:rPr>
          <w:rFonts w:hint="eastAsia" w:ascii="宋体" w:hAnsi="宋体" w:eastAsia="宋体" w:cs="宋体"/>
          <w:sz w:val="24"/>
          <w:szCs w:val="24"/>
          <w:lang w:bidi="ar"/>
        </w:rPr>
        <w:t>抵触时，以更高、更严格标准的</w:t>
      </w:r>
      <w:r>
        <w:rPr>
          <w:rFonts w:hint="eastAsia" w:ascii="宋体" w:hAnsi="宋体" w:eastAsia="宋体" w:cs="宋体"/>
          <w:spacing w:val="-1"/>
          <w:sz w:val="24"/>
          <w:szCs w:val="24"/>
          <w:lang w:bidi="ar"/>
        </w:rPr>
        <w:t>规定为准。</w:t>
      </w:r>
      <w:r>
        <w:rPr>
          <w:rFonts w:hint="eastAsia" w:ascii="宋体" w:hAnsi="宋体" w:eastAsia="宋体" w:cs="宋体"/>
          <w:sz w:val="24"/>
          <w:szCs w:val="24"/>
          <w:lang w:bidi="ar"/>
        </w:rPr>
        <w:t xml:space="preserve"> </w:t>
      </w:r>
    </w:p>
    <w:p>
      <w:pPr>
        <w:widowControl w:val="0"/>
        <w:spacing w:before="33" w:line="360" w:lineRule="auto"/>
        <w:ind w:left="138"/>
        <w:rPr>
          <w:rFonts w:ascii="宋体" w:hAnsi="宋体" w:eastAsia="宋体" w:cs="宋体"/>
          <w:sz w:val="24"/>
          <w:szCs w:val="24"/>
        </w:rPr>
      </w:pPr>
      <w:r>
        <w:rPr>
          <w:rFonts w:hint="eastAsia" w:ascii="宋体" w:hAnsi="宋体" w:eastAsia="宋体" w:cs="宋体"/>
          <w:sz w:val="24"/>
          <w:szCs w:val="24"/>
          <w:lang w:bidi="ar"/>
        </w:rPr>
        <w:t>2</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在执行本合同的过程中，所有经双方签署确认的文件（包括会议纪要、补充协议、 往来信函）即成为本合同的有效组成部分。 </w:t>
      </w:r>
    </w:p>
    <w:p>
      <w:pPr>
        <w:widowControl w:val="0"/>
        <w:spacing w:before="33" w:line="360" w:lineRule="auto"/>
        <w:ind w:left="138"/>
        <w:rPr>
          <w:rFonts w:ascii="宋体" w:hAnsi="宋体" w:eastAsia="宋体" w:cs="宋体"/>
          <w:sz w:val="24"/>
          <w:szCs w:val="24"/>
          <w:lang w:bidi="ar"/>
        </w:rPr>
      </w:pPr>
      <w:r>
        <w:rPr>
          <w:rFonts w:hint="eastAsia" w:ascii="宋体" w:hAnsi="宋体" w:eastAsia="宋体" w:cs="宋体"/>
          <w:sz w:val="24"/>
          <w:szCs w:val="24"/>
          <w:lang w:bidi="ar"/>
        </w:rPr>
        <w:t>3</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如一方地址、电话、传真号码有变更，应在变更当日内书面通知对方，否则，应承担相应责任。</w:t>
      </w:r>
    </w:p>
    <w:p>
      <w:pPr>
        <w:widowControl w:val="0"/>
        <w:spacing w:before="33" w:line="360" w:lineRule="auto"/>
        <w:ind w:left="138"/>
        <w:rPr>
          <w:rFonts w:ascii="宋体" w:hAnsi="宋体" w:eastAsia="宋体" w:cs="宋体"/>
          <w:sz w:val="24"/>
          <w:szCs w:val="24"/>
          <w:lang w:bidi="ar"/>
        </w:rPr>
      </w:pPr>
      <w:r>
        <w:rPr>
          <w:rFonts w:hint="eastAsia" w:ascii="宋体" w:hAnsi="宋体" w:eastAsia="宋体" w:cs="宋体"/>
          <w:sz w:val="24"/>
          <w:szCs w:val="24"/>
          <w:lang w:bidi="ar"/>
        </w:rPr>
        <w:t>4</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除甲方事先书面同意外，乙方不得部分或全部转让其应履行的合同项下的义务。 </w:t>
      </w:r>
    </w:p>
    <w:p>
      <w:pPr>
        <w:widowControl w:val="0"/>
        <w:spacing w:line="367" w:lineRule="exact"/>
        <w:rPr>
          <w:rFonts w:ascii="宋体" w:hAnsi="宋体" w:eastAsia="宋体" w:cs="宋体"/>
          <w:sz w:val="24"/>
          <w:szCs w:val="24"/>
        </w:rPr>
      </w:pPr>
      <w:r>
        <w:rPr>
          <w:rFonts w:hint="eastAsia" w:ascii="宋体" w:hAnsi="宋体" w:eastAsia="宋体" w:cs="宋体"/>
          <w:b/>
          <w:bCs/>
          <w:sz w:val="24"/>
          <w:szCs w:val="24"/>
          <w:lang w:bidi="ar"/>
        </w:rPr>
        <w:t>十五、</w:t>
      </w:r>
      <w:r>
        <w:rPr>
          <w:rFonts w:hint="eastAsia" w:ascii="宋体" w:hAnsi="宋体" w:eastAsia="宋体" w:cs="宋体"/>
          <w:b/>
          <w:bCs/>
          <w:spacing w:val="1"/>
          <w:sz w:val="24"/>
          <w:szCs w:val="24"/>
          <w:lang w:bidi="ar"/>
        </w:rPr>
        <w:t>联系方式</w:t>
      </w:r>
      <w:r>
        <w:rPr>
          <w:rFonts w:hint="eastAsia" w:ascii="宋体" w:hAnsi="宋体" w:eastAsia="宋体" w:cs="宋体"/>
          <w:b/>
          <w:bCs/>
          <w:sz w:val="24"/>
          <w:szCs w:val="24"/>
          <w:lang w:bidi="ar"/>
        </w:rPr>
        <w:t xml:space="preserve"> </w:t>
      </w:r>
    </w:p>
    <w:p>
      <w:pPr>
        <w:widowControl w:val="0"/>
        <w:spacing w:before="124"/>
        <w:ind w:left="218"/>
        <w:rPr>
          <w:rFonts w:ascii="宋体" w:hAnsi="宋体" w:eastAsia="宋体" w:cs="宋体"/>
          <w:sz w:val="24"/>
          <w:szCs w:val="24"/>
        </w:rPr>
      </w:pPr>
      <w:r>
        <w:rPr>
          <w:rFonts w:hint="eastAsia" w:ascii="宋体" w:hAnsi="宋体" w:eastAsia="宋体" w:cs="宋体"/>
          <w:sz w:val="24"/>
          <w:szCs w:val="24"/>
          <w:lang w:bidi="ar"/>
        </w:rPr>
        <w:t>1</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甲方联系人及电话： </w:t>
      </w:r>
    </w:p>
    <w:p>
      <w:pPr>
        <w:widowControl w:val="0"/>
        <w:spacing w:before="124" w:line="240" w:lineRule="auto"/>
        <w:ind w:left="218" w:right="0"/>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 xml:space="preserve">乙方联系人及电话： </w:t>
      </w:r>
    </w:p>
    <w:p>
      <w:pPr>
        <w:widowControl w:val="0"/>
        <w:spacing w:before="0" w:line="367" w:lineRule="exact"/>
        <w:ind w:right="0"/>
        <w:rPr>
          <w:rFonts w:hint="eastAsia" w:ascii="宋体" w:hAnsi="宋体" w:eastAsia="宋体" w:cs="宋体"/>
          <w:b/>
          <w:bCs/>
          <w:spacing w:val="1"/>
          <w:sz w:val="24"/>
          <w:szCs w:val="24"/>
          <w:lang w:bidi="ar"/>
        </w:rPr>
      </w:pPr>
      <w:r>
        <w:rPr>
          <w:rFonts w:hint="eastAsia" w:ascii="宋体" w:hAnsi="宋体" w:eastAsia="宋体" w:cs="宋体"/>
          <w:b/>
          <w:bCs/>
          <w:spacing w:val="1"/>
          <w:sz w:val="24"/>
          <w:szCs w:val="24"/>
          <w:lang w:bidi="ar"/>
        </w:rPr>
        <w:t xml:space="preserve">十六、合同生效 </w:t>
      </w:r>
    </w:p>
    <w:p>
      <w:pPr>
        <w:widowControl w:val="0"/>
        <w:spacing w:before="154" w:line="295" w:lineRule="auto"/>
        <w:ind w:left="210" w:leftChars="100" w:right="630" w:rightChars="300"/>
        <w:rPr>
          <w:rFonts w:hint="eastAsia" w:ascii="宋体" w:hAnsi="宋体" w:eastAsia="宋体" w:cs="宋体"/>
          <w:sz w:val="24"/>
          <w:szCs w:val="24"/>
          <w:lang w:bidi="ar"/>
        </w:rPr>
      </w:pPr>
      <w:r>
        <w:rPr>
          <w:rFonts w:hint="eastAsia" w:ascii="宋体" w:hAnsi="宋体" w:eastAsia="宋体" w:cs="宋体"/>
          <w:b w:val="0"/>
          <w:bCs w:val="0"/>
          <w:kern w:val="2"/>
          <w:sz w:val="24"/>
          <w:szCs w:val="24"/>
          <w:lang w:val="en-US" w:eastAsia="zh-CN" w:bidi="ar"/>
        </w:rPr>
        <w:t>1</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合同自甲乙双方法人代表或授权代表</w:t>
      </w:r>
      <w:r>
        <w:rPr>
          <w:rFonts w:hint="eastAsia" w:ascii="宋体" w:hAnsi="宋体" w:cs="宋体"/>
          <w:sz w:val="24"/>
          <w:szCs w:val="24"/>
          <w:lang w:val="en-US" w:eastAsia="zh-CN" w:bidi="ar"/>
        </w:rPr>
        <w:t>人</w:t>
      </w:r>
      <w:r>
        <w:rPr>
          <w:rFonts w:hint="eastAsia" w:ascii="宋体" w:hAnsi="宋体" w:eastAsia="宋体" w:cs="宋体"/>
          <w:sz w:val="24"/>
          <w:szCs w:val="24"/>
          <w:lang w:bidi="ar"/>
        </w:rPr>
        <w:t xml:space="preserve">签字盖章之日起生效。 </w:t>
      </w:r>
    </w:p>
    <w:p>
      <w:pPr>
        <w:widowControl w:val="0"/>
        <w:spacing w:before="33" w:line="360" w:lineRule="auto"/>
        <w:ind w:left="138"/>
        <w:rPr>
          <w:rFonts w:hint="eastAsia" w:ascii="宋体" w:hAnsi="宋体" w:eastAsia="宋体" w:cs="宋体"/>
          <w:spacing w:val="0"/>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eastAsia="zh-CN" w:bidi="ar"/>
        </w:rPr>
        <w:t>、</w:t>
      </w:r>
      <w:r>
        <w:rPr>
          <w:rFonts w:hint="eastAsia" w:ascii="宋体" w:hAnsi="宋体" w:eastAsia="宋体" w:cs="宋体"/>
          <w:spacing w:val="0"/>
          <w:sz w:val="24"/>
          <w:szCs w:val="24"/>
          <w:lang w:bidi="ar"/>
        </w:rPr>
        <w:t>合同</w:t>
      </w:r>
      <w:r>
        <w:rPr>
          <w:rFonts w:hint="eastAsia" w:ascii="宋体" w:hAnsi="宋体" w:eastAsia="宋体" w:cs="宋体"/>
          <w:spacing w:val="0"/>
          <w:sz w:val="24"/>
          <w:szCs w:val="24"/>
          <w:lang w:val="en-US" w:eastAsia="zh-CN" w:bidi="ar"/>
        </w:rPr>
        <w:t>一</w:t>
      </w:r>
      <w:r>
        <w:rPr>
          <w:rFonts w:hint="eastAsia" w:ascii="宋体" w:hAnsi="宋体" w:eastAsia="宋体" w:cs="宋体"/>
          <w:spacing w:val="0"/>
          <w:sz w:val="24"/>
          <w:szCs w:val="24"/>
          <w:lang w:bidi="ar"/>
        </w:rPr>
        <w:t>式</w:t>
      </w:r>
      <w:r>
        <w:rPr>
          <w:rFonts w:hint="eastAsia" w:ascii="宋体" w:hAnsi="宋体" w:eastAsia="宋体" w:cs="宋体"/>
          <w:sz w:val="24"/>
          <w:szCs w:val="24"/>
          <w:u w:val="none" w:color="000000"/>
          <w:lang w:bidi="ar"/>
        </w:rPr>
        <w:t>六</w:t>
      </w:r>
      <w:r>
        <w:rPr>
          <w:rFonts w:hint="eastAsia" w:ascii="宋体" w:hAnsi="宋体" w:eastAsia="宋体" w:cs="宋体"/>
          <w:sz w:val="24"/>
          <w:szCs w:val="24"/>
          <w:lang w:bidi="ar"/>
        </w:rPr>
        <w:t>份，其中甲方</w:t>
      </w:r>
      <w:r>
        <w:rPr>
          <w:rFonts w:hint="eastAsia" w:ascii="宋体" w:hAnsi="宋体" w:eastAsia="宋体" w:cs="宋体"/>
          <w:sz w:val="24"/>
          <w:szCs w:val="24"/>
          <w:u w:val="none" w:color="000000"/>
          <w:lang w:bidi="ar"/>
        </w:rPr>
        <w:t>四</w:t>
      </w:r>
      <w:r>
        <w:rPr>
          <w:rFonts w:hint="eastAsia" w:ascii="宋体" w:hAnsi="宋体" w:eastAsia="宋体" w:cs="宋体"/>
          <w:sz w:val="24"/>
          <w:szCs w:val="24"/>
          <w:lang w:bidi="ar"/>
        </w:rPr>
        <w:t>份、乙方</w:t>
      </w:r>
      <w:r>
        <w:rPr>
          <w:rFonts w:hint="eastAsia" w:ascii="宋体" w:hAnsi="宋体" w:eastAsia="宋体" w:cs="宋体"/>
          <w:sz w:val="24"/>
          <w:szCs w:val="24"/>
          <w:u w:val="none" w:color="000000"/>
          <w:lang w:bidi="ar"/>
        </w:rPr>
        <w:t>二</w:t>
      </w:r>
      <w:r>
        <w:rPr>
          <w:rFonts w:hint="eastAsia" w:ascii="宋体" w:hAnsi="宋体" w:eastAsia="宋体" w:cs="宋体"/>
          <w:sz w:val="24"/>
          <w:szCs w:val="24"/>
          <w:lang w:bidi="ar"/>
        </w:rPr>
        <w:t>份，具有同等法律效力。</w:t>
      </w:r>
      <w:r>
        <w:rPr>
          <w:rFonts w:hint="eastAsia" w:ascii="宋体" w:hAnsi="宋体" w:eastAsia="宋体" w:cs="宋体"/>
          <w:spacing w:val="0"/>
          <w:sz w:val="24"/>
          <w:szCs w:val="24"/>
          <w:lang w:bidi="ar"/>
        </w:rPr>
        <w:t xml:space="preserve"> </w:t>
      </w:r>
    </w:p>
    <w:p>
      <w:pPr>
        <w:widowControl w:val="0"/>
        <w:spacing w:before="151" w:line="355" w:lineRule="auto"/>
        <w:ind w:left="218" w:right="3084"/>
        <w:rPr>
          <w:rFonts w:ascii="宋体" w:hAnsi="宋体" w:eastAsia="宋体" w:cs="宋体"/>
          <w:spacing w:val="23"/>
          <w:sz w:val="24"/>
          <w:szCs w:val="24"/>
          <w:lang w:bidi="ar"/>
        </w:rPr>
      </w:pPr>
    </w:p>
    <w:p>
      <w:pPr>
        <w:widowControl w:val="0"/>
        <w:spacing w:before="151" w:line="355" w:lineRule="auto"/>
        <w:ind w:left="218" w:right="3084"/>
        <w:rPr>
          <w:rFonts w:hint="eastAsia" w:ascii="宋体" w:hAnsi="宋体" w:eastAsia="宋体" w:cs="宋体"/>
          <w:spacing w:val="-1"/>
          <w:sz w:val="24"/>
          <w:szCs w:val="24"/>
          <w:lang w:bidi="ar"/>
        </w:rPr>
      </w:pPr>
      <w:r>
        <w:rPr>
          <w:rFonts w:hint="eastAsia" w:ascii="宋体" w:hAnsi="宋体" w:eastAsia="宋体" w:cs="宋体"/>
          <w:spacing w:val="-1"/>
          <w:sz w:val="24"/>
          <w:szCs w:val="24"/>
          <w:lang w:bidi="ar"/>
        </w:rPr>
        <w:t>甲方（盖章）：</w:t>
      </w:r>
      <w:r>
        <w:rPr>
          <w:rFonts w:hint="eastAsia" w:ascii="宋体" w:hAnsi="宋体" w:eastAsia="宋体" w:cs="宋体"/>
          <w:sz w:val="24"/>
          <w:szCs w:val="24"/>
          <w:lang w:bidi="ar"/>
        </w:rPr>
        <w:t xml:space="preserve">                  </w:t>
      </w:r>
      <w:r>
        <w:rPr>
          <w:rFonts w:hint="eastAsia" w:ascii="宋体" w:hAnsi="宋体" w:eastAsia="宋体" w:cs="宋体"/>
          <w:spacing w:val="-1"/>
          <w:sz w:val="24"/>
          <w:szCs w:val="24"/>
          <w:lang w:bidi="ar"/>
        </w:rPr>
        <w:t xml:space="preserve">乙方（盖章）： </w:t>
      </w:r>
    </w:p>
    <w:p>
      <w:pPr>
        <w:widowControl w:val="0"/>
        <w:spacing w:before="151" w:line="355" w:lineRule="auto"/>
        <w:ind w:left="218" w:right="3084"/>
        <w:rPr>
          <w:rFonts w:ascii="宋体" w:hAnsi="宋体" w:eastAsia="宋体" w:cs="宋体"/>
          <w:spacing w:val="26"/>
          <w:sz w:val="24"/>
          <w:szCs w:val="24"/>
          <w:lang w:bidi="ar"/>
        </w:rPr>
      </w:pPr>
    </w:p>
    <w:p>
      <w:pPr>
        <w:widowControl w:val="0"/>
        <w:spacing w:before="151" w:line="355" w:lineRule="auto"/>
        <w:ind w:left="218" w:right="3084"/>
        <w:rPr>
          <w:rFonts w:ascii="宋体" w:hAnsi="宋体" w:eastAsia="宋体" w:cs="宋体"/>
          <w:spacing w:val="11"/>
          <w:sz w:val="24"/>
          <w:szCs w:val="24"/>
          <w:lang w:bidi="ar"/>
        </w:rPr>
      </w:pPr>
      <w:r>
        <w:rPr>
          <w:rFonts w:hint="eastAsia" w:ascii="宋体" w:hAnsi="宋体" w:eastAsia="宋体" w:cs="宋体"/>
          <w:spacing w:val="-1"/>
          <w:sz w:val="24"/>
          <w:szCs w:val="24"/>
          <w:lang w:bidi="ar"/>
        </w:rPr>
        <w:t>代表：</w:t>
      </w:r>
      <w:r>
        <w:rPr>
          <w:rFonts w:hint="eastAsia" w:ascii="宋体" w:hAnsi="宋体" w:eastAsia="宋体" w:cs="宋体"/>
          <w:sz w:val="24"/>
          <w:szCs w:val="24"/>
          <w:lang w:bidi="ar"/>
        </w:rPr>
        <w:t xml:space="preserve">                             代</w:t>
      </w:r>
      <w:r>
        <w:rPr>
          <w:rFonts w:hint="eastAsia" w:ascii="宋体" w:hAnsi="宋体" w:eastAsia="宋体" w:cs="宋体"/>
          <w:sz w:val="24"/>
          <w:szCs w:val="24"/>
          <w:lang w:val="en-US" w:eastAsia="zh-CN" w:bidi="ar"/>
        </w:rPr>
        <w:t>表</w:t>
      </w:r>
      <w:r>
        <w:rPr>
          <w:rFonts w:hint="eastAsia" w:ascii="宋体" w:hAnsi="宋体" w:eastAsia="宋体" w:cs="宋体"/>
          <w:sz w:val="24"/>
          <w:szCs w:val="24"/>
          <w:lang w:bidi="ar"/>
        </w:rPr>
        <w:t>：</w:t>
      </w:r>
      <w:r>
        <w:rPr>
          <w:rFonts w:hint="eastAsia" w:ascii="宋体" w:hAnsi="宋体" w:eastAsia="宋体" w:cs="宋体"/>
          <w:spacing w:val="11"/>
          <w:sz w:val="24"/>
          <w:szCs w:val="24"/>
          <w:lang w:bidi="ar"/>
        </w:rPr>
        <w:t xml:space="preserve">  </w:t>
      </w:r>
    </w:p>
    <w:p>
      <w:pPr>
        <w:widowControl w:val="0"/>
        <w:spacing w:before="151" w:line="355" w:lineRule="auto"/>
        <w:ind w:left="218" w:right="3084"/>
        <w:rPr>
          <w:rFonts w:hint="eastAsia" w:ascii="宋体" w:hAnsi="宋体" w:eastAsia="宋体" w:cs="宋体"/>
          <w:spacing w:val="-1"/>
          <w:sz w:val="24"/>
          <w:szCs w:val="24"/>
          <w:lang w:bidi="ar"/>
        </w:rPr>
      </w:pPr>
    </w:p>
    <w:p>
      <w:pPr>
        <w:widowControl w:val="0"/>
        <w:spacing w:before="151" w:line="355" w:lineRule="auto"/>
        <w:ind w:left="218" w:right="3084"/>
        <w:rPr>
          <w:rFonts w:ascii="宋体" w:hAnsi="宋体" w:eastAsia="宋体" w:cs="宋体"/>
          <w:sz w:val="24"/>
          <w:szCs w:val="24"/>
        </w:rPr>
      </w:pPr>
      <w:r>
        <w:rPr>
          <w:rFonts w:hint="eastAsia" w:ascii="宋体" w:hAnsi="宋体" w:eastAsia="宋体" w:cs="宋体"/>
          <w:spacing w:val="-1"/>
          <w:sz w:val="24"/>
          <w:szCs w:val="24"/>
          <w:lang w:bidi="ar"/>
        </w:rPr>
        <w:t>签定地点：深圳</w:t>
      </w:r>
      <w:r>
        <w:rPr>
          <w:rFonts w:hint="eastAsia" w:ascii="宋体" w:hAnsi="宋体" w:eastAsia="宋体" w:cs="宋体"/>
          <w:spacing w:val="-1"/>
          <w:sz w:val="24"/>
          <w:szCs w:val="24"/>
          <w:lang w:val="en-US" w:eastAsia="zh-CN" w:bidi="ar"/>
        </w:rPr>
        <w:t>宝安区</w:t>
      </w:r>
      <w:r>
        <w:rPr>
          <w:rFonts w:hint="eastAsia" w:ascii="宋体" w:hAnsi="宋体" w:eastAsia="宋体" w:cs="宋体"/>
          <w:sz w:val="24"/>
          <w:szCs w:val="24"/>
          <w:lang w:bidi="ar"/>
        </w:rPr>
        <w:t xml:space="preserve"> </w:t>
      </w:r>
    </w:p>
    <w:p>
      <w:r>
        <w:rPr>
          <w:rFonts w:hint="eastAsia" w:ascii="宋体" w:hAnsi="宋体" w:eastAsia="宋体" w:cs="宋体"/>
          <w:spacing w:val="-1"/>
          <w:sz w:val="24"/>
          <w:szCs w:val="24"/>
          <w:lang w:bidi="ar"/>
        </w:rPr>
        <w:t>签定日期：</w:t>
      </w:r>
      <w:r>
        <w:rPr>
          <w:rFonts w:hint="eastAsia" w:ascii="宋体" w:hAnsi="宋体" w:eastAsia="宋体" w:cs="宋体"/>
          <w:sz w:val="24"/>
          <w:szCs w:val="24"/>
          <w:lang w:bidi="ar"/>
        </w:rPr>
        <w:t xml:space="preserve">   年   月   日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签定日期：   年    月    日</w:t>
      </w:r>
    </w:p>
    <w:p>
      <w:r>
        <w:rPr>
          <w:rFonts w:asciiTheme="minorEastAsia" w:hAnsiTheme="minorEastAsia" w:eastAsiaTheme="minorEastAsia"/>
          <w:b/>
          <w:sz w:val="72"/>
        </w:rPr>
        <w:br w:type="page"/>
      </w:r>
      <w:bookmarkStart w:id="454" w:name="第六章__投标文件格式"/>
      <w:bookmarkEnd w:id="454"/>
    </w:p>
    <w:p>
      <w:pPr>
        <w:pStyle w:val="3"/>
        <w:rPr>
          <w:rFonts w:ascii="Times New Roman" w:hAnsi="Times New Roman"/>
          <w:sz w:val="20"/>
        </w:rPr>
      </w:pPr>
      <w:bookmarkStart w:id="455" w:name="_Toc56856926"/>
      <w:bookmarkStart w:id="456" w:name="_Toc56857077"/>
      <w:r>
        <w:t>第</w:t>
      </w:r>
      <w:r>
        <w:rPr>
          <w:rFonts w:hint="eastAsia"/>
        </w:rPr>
        <w:t>二</w:t>
      </w:r>
      <w:r>
        <w:t>卷</w:t>
      </w:r>
      <w:bookmarkEnd w:id="455"/>
      <w:bookmarkEnd w:id="456"/>
    </w:p>
    <w:p>
      <w:pPr>
        <w:pStyle w:val="3"/>
      </w:pPr>
      <w:bookmarkStart w:id="457" w:name="_Toc56856927"/>
      <w:bookmarkStart w:id="458" w:name="_Toc56857078"/>
      <w:r>
        <w:rPr>
          <w:rFonts w:hint="eastAsia"/>
        </w:rPr>
        <w:t xml:space="preserve">第五章 </w:t>
      </w:r>
      <w:bookmarkEnd w:id="457"/>
      <w:bookmarkEnd w:id="458"/>
      <w:r>
        <w:rPr>
          <w:rFonts w:hint="eastAsia"/>
        </w:rPr>
        <w:t>项目用户需求书</w:t>
      </w:r>
    </w:p>
    <w:p>
      <w:pPr>
        <w:widowControl w:val="0"/>
        <w:kinsoku/>
        <w:autoSpaceDE/>
        <w:autoSpaceDN/>
        <w:adjustRightInd/>
        <w:snapToGrid/>
        <w:spacing w:line="560" w:lineRule="exact"/>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一、采购项目 </w:t>
      </w:r>
    </w:p>
    <w:tbl>
      <w:tblPr>
        <w:tblStyle w:val="43"/>
        <w:tblW w:w="8997" w:type="dxa"/>
        <w:jc w:val="center"/>
        <w:tblLayout w:type="fixed"/>
        <w:tblCellMar>
          <w:top w:w="0" w:type="dxa"/>
          <w:left w:w="0" w:type="dxa"/>
          <w:bottom w:w="0" w:type="dxa"/>
          <w:right w:w="0" w:type="dxa"/>
        </w:tblCellMar>
      </w:tblPr>
      <w:tblGrid>
        <w:gridCol w:w="3341"/>
        <w:gridCol w:w="1597"/>
        <w:gridCol w:w="2188"/>
        <w:gridCol w:w="1871"/>
      </w:tblGrid>
      <w:tr>
        <w:tblPrEx>
          <w:tblCellMar>
            <w:top w:w="0" w:type="dxa"/>
            <w:left w:w="0" w:type="dxa"/>
            <w:bottom w:w="0" w:type="dxa"/>
            <w:right w:w="0" w:type="dxa"/>
          </w:tblCellMar>
        </w:tblPrEx>
        <w:trPr>
          <w:trHeight w:val="444" w:hRule="exact"/>
          <w:jc w:val="center"/>
        </w:trPr>
        <w:tc>
          <w:tcPr>
            <w:tcW w:w="3341" w:type="dxa"/>
            <w:tcBorders>
              <w:top w:val="single" w:color="000000" w:sz="12" w:space="0"/>
              <w:left w:val="single" w:color="000000" w:sz="12" w:space="0"/>
              <w:bottom w:val="single" w:color="000000" w:sz="6" w:space="0"/>
              <w:right w:val="single" w:color="000000" w:sz="6" w:space="0"/>
            </w:tcBorders>
            <w:vAlign w:val="center"/>
          </w:tcPr>
          <w:p>
            <w:pPr>
              <w:pStyle w:val="115"/>
              <w:spacing w:before="54" w:line="24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项目内容</w:t>
            </w:r>
          </w:p>
        </w:tc>
        <w:tc>
          <w:tcPr>
            <w:tcW w:w="1597" w:type="dxa"/>
            <w:tcBorders>
              <w:top w:val="single" w:color="000000" w:sz="12" w:space="0"/>
              <w:left w:val="single" w:color="000000" w:sz="6" w:space="0"/>
              <w:bottom w:val="single" w:color="000000" w:sz="6" w:space="0"/>
              <w:right w:val="single" w:color="000000" w:sz="6" w:space="0"/>
            </w:tcBorders>
            <w:vAlign w:val="center"/>
          </w:tcPr>
          <w:p>
            <w:pPr>
              <w:pStyle w:val="115"/>
              <w:spacing w:before="54" w:line="24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供货期限</w:t>
            </w:r>
          </w:p>
        </w:tc>
        <w:tc>
          <w:tcPr>
            <w:tcW w:w="2188" w:type="dxa"/>
            <w:tcBorders>
              <w:top w:val="single" w:color="000000" w:sz="12" w:space="0"/>
              <w:left w:val="single" w:color="000000" w:sz="6" w:space="0"/>
              <w:bottom w:val="single" w:color="000000" w:sz="6" w:space="0"/>
              <w:right w:val="single" w:color="000000" w:sz="6" w:space="0"/>
            </w:tcBorders>
            <w:vAlign w:val="center"/>
          </w:tcPr>
          <w:p>
            <w:pPr>
              <w:pStyle w:val="115"/>
              <w:spacing w:before="54" w:line="24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控制价</w:t>
            </w:r>
          </w:p>
        </w:tc>
        <w:tc>
          <w:tcPr>
            <w:tcW w:w="1871" w:type="dxa"/>
            <w:tcBorders>
              <w:top w:val="single" w:color="000000" w:sz="12" w:space="0"/>
              <w:left w:val="single" w:color="000000" w:sz="6" w:space="0"/>
              <w:bottom w:val="single" w:color="000000" w:sz="6" w:space="0"/>
              <w:right w:val="single" w:color="000000" w:sz="12" w:space="0"/>
            </w:tcBorders>
            <w:vAlign w:val="center"/>
          </w:tcPr>
          <w:p>
            <w:pPr>
              <w:pStyle w:val="115"/>
              <w:spacing w:before="54" w:line="24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中标人数量</w:t>
            </w:r>
          </w:p>
        </w:tc>
      </w:tr>
      <w:tr>
        <w:tblPrEx>
          <w:tblCellMar>
            <w:top w:w="0" w:type="dxa"/>
            <w:left w:w="0" w:type="dxa"/>
            <w:bottom w:w="0" w:type="dxa"/>
            <w:right w:w="0" w:type="dxa"/>
          </w:tblCellMar>
        </w:tblPrEx>
        <w:trPr>
          <w:trHeight w:val="1207" w:hRule="exact"/>
          <w:jc w:val="center"/>
        </w:trPr>
        <w:tc>
          <w:tcPr>
            <w:tcW w:w="3341" w:type="dxa"/>
            <w:tcBorders>
              <w:top w:val="single" w:color="000000" w:sz="6" w:space="0"/>
              <w:left w:val="single" w:color="000000" w:sz="12" w:space="0"/>
              <w:bottom w:val="single" w:color="000000" w:sz="6" w:space="0"/>
              <w:right w:val="single" w:color="000000" w:sz="6" w:space="0"/>
            </w:tcBorders>
            <w:vAlign w:val="center"/>
          </w:tcPr>
          <w:p>
            <w:pPr>
              <w:pStyle w:val="115"/>
              <w:spacing w:before="54" w:line="240" w:lineRule="auto"/>
              <w:jc w:val="center"/>
              <w:rPr>
                <w:rFonts w:hint="eastAsia" w:ascii="宋体" w:hAnsi="宋体" w:eastAsia="宋体" w:cs="宋体"/>
                <w:sz w:val="24"/>
                <w:szCs w:val="24"/>
                <w:lang w:val="en-US"/>
              </w:rPr>
            </w:pPr>
            <w:r>
              <w:rPr>
                <w:rFonts w:hint="eastAsia" w:cs="宋体"/>
                <w:sz w:val="24"/>
                <w:szCs w:val="24"/>
                <w:lang w:val="en-US" w:eastAsia="zh-CN"/>
              </w:rPr>
              <w:t>2026年度江碧环保科技创新产业园-工业废水集中处理厂废水处理普通药剂采购项目</w:t>
            </w:r>
          </w:p>
        </w:tc>
        <w:tc>
          <w:tcPr>
            <w:tcW w:w="1597" w:type="dxa"/>
            <w:tcBorders>
              <w:top w:val="single" w:color="000000" w:sz="6" w:space="0"/>
              <w:left w:val="single" w:color="000000" w:sz="6" w:space="0"/>
              <w:bottom w:val="single" w:color="000000" w:sz="6" w:space="0"/>
              <w:right w:val="single" w:color="000000" w:sz="6" w:space="0"/>
            </w:tcBorders>
            <w:vAlign w:val="center"/>
          </w:tcPr>
          <w:p>
            <w:pPr>
              <w:pStyle w:val="115"/>
              <w:spacing w:before="54" w:line="24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合同签订之日起一年</w:t>
            </w:r>
          </w:p>
        </w:tc>
        <w:tc>
          <w:tcPr>
            <w:tcW w:w="2188" w:type="dxa"/>
            <w:tcBorders>
              <w:top w:val="single" w:color="000000" w:sz="6" w:space="0"/>
              <w:left w:val="single" w:color="000000" w:sz="6" w:space="0"/>
              <w:bottom w:val="single" w:color="000000" w:sz="6" w:space="0"/>
              <w:right w:val="single" w:color="000000" w:sz="6" w:space="0"/>
            </w:tcBorders>
            <w:vAlign w:val="center"/>
          </w:tcPr>
          <w:p>
            <w:pPr>
              <w:pStyle w:val="115"/>
              <w:spacing w:before="54" w:line="240" w:lineRule="auto"/>
              <w:jc w:val="center"/>
              <w:rPr>
                <w:rFonts w:hint="eastAsia" w:ascii="宋体" w:hAnsi="宋体" w:eastAsia="宋体" w:cs="宋体"/>
                <w:sz w:val="24"/>
                <w:szCs w:val="24"/>
                <w:lang w:val="en-US"/>
              </w:rPr>
            </w:pPr>
            <w:r>
              <w:rPr>
                <w:rFonts w:hint="eastAsia" w:cs="宋体"/>
                <w:sz w:val="24"/>
                <w:szCs w:val="24"/>
                <w:lang w:val="en-US" w:eastAsia="zh-CN"/>
              </w:rPr>
              <w:t>人民币1599万元</w:t>
            </w:r>
          </w:p>
        </w:tc>
        <w:tc>
          <w:tcPr>
            <w:tcW w:w="1871" w:type="dxa"/>
            <w:tcBorders>
              <w:top w:val="single" w:color="000000" w:sz="6" w:space="0"/>
              <w:left w:val="single" w:color="000000" w:sz="6" w:space="0"/>
              <w:bottom w:val="single" w:color="000000" w:sz="6" w:space="0"/>
              <w:right w:val="single" w:color="000000" w:sz="12" w:space="0"/>
            </w:tcBorders>
            <w:vAlign w:val="center"/>
          </w:tcPr>
          <w:p>
            <w:pPr>
              <w:pStyle w:val="115"/>
              <w:spacing w:before="54" w:line="24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1 家</w:t>
            </w:r>
          </w:p>
        </w:tc>
      </w:tr>
    </w:tbl>
    <w:p>
      <w:pPr>
        <w:widowControl w:val="0"/>
        <w:kinsoku/>
        <w:autoSpaceDE/>
        <w:autoSpaceDN/>
        <w:adjustRightInd/>
        <w:snapToGrid/>
        <w:spacing w:line="560" w:lineRule="exact"/>
        <w:ind w:firstLine="0" w:firstLineChars="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 二、采购清单 </w:t>
      </w:r>
    </w:p>
    <w:tbl>
      <w:tblPr>
        <w:tblStyle w:val="43"/>
        <w:tblW w:w="8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239"/>
        <w:gridCol w:w="786"/>
        <w:gridCol w:w="1019"/>
        <w:gridCol w:w="1471"/>
        <w:gridCol w:w="1100"/>
        <w:gridCol w:w="1072"/>
        <w:gridCol w:w="1097"/>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药剂名称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药剂形态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浓度</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包装规格</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单价上限</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预计购买量</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（吨）</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4588"/>
                <w:tab w:val="left" w:pos="5664"/>
              </w:tabs>
              <w:spacing w:line="240" w:lineRule="auto"/>
              <w:ind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r>
              <w:rPr>
                <w:rFonts w:hint="eastAsia" w:ascii="宋体" w:hAnsi="宋体" w:eastAsia="宋体" w:cs="宋体"/>
                <w:b/>
                <w:bCs/>
                <w:i w:val="0"/>
                <w:iCs w:val="0"/>
                <w:snapToGrid w:val="0"/>
                <w:color w:val="000000"/>
                <w:kern w:val="0"/>
                <w:sz w:val="18"/>
                <w:szCs w:val="18"/>
                <w:u w:val="none"/>
                <w:lang w:val="en-US" w:eastAsia="zh-CN" w:bidi="ar"/>
              </w:rPr>
              <w:tab/>
            </w:r>
            <w:r>
              <w:rPr>
                <w:rFonts w:hint="eastAsia" w:ascii="宋体" w:hAnsi="宋体" w:eastAsia="宋体" w:cs="宋体"/>
                <w:b/>
                <w:bCs/>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1483.5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4400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6527400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饮用水级聚合氯化铝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氧化铝含量≥</w:t>
            </w: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799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679150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聚合氯化铝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21-23%</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1648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148320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双氧水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27.5%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1510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1057000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焦亚硫酸钠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680350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焦亚硫酸钠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97%</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3017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422380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片碱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4581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687150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50%工业硫酸</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991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297300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葡萄糖</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1685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589750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葡萄糖</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食品级</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4743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711450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聚丙烯酰胺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（日本三井PAM）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28510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228080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硫酸亚铁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476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190400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硫酸亚铁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1000Kg/</w:t>
            </w:r>
            <w:r>
              <w:rPr>
                <w:rFonts w:hint="eastAsia" w:ascii="宋体" w:hAnsi="宋体" w:eastAsia="宋体" w:cs="宋体"/>
                <w:i w:val="0"/>
                <w:iCs w:val="0"/>
                <w:snapToGrid w:val="0"/>
                <w:color w:val="000000"/>
                <w:kern w:val="0"/>
                <w:sz w:val="18"/>
                <w:szCs w:val="18"/>
                <w:u w:val="none"/>
                <w:lang w:val="en-US" w:eastAsia="zh-CN" w:bidi="ar"/>
              </w:rPr>
              <w:t>袋，</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985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492500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次氯酸钠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有效氯≥</w:t>
            </w: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689.5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206850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螯合碱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有效碱含量≥</w:t>
            </w:r>
            <w:r>
              <w:rPr>
                <w:rFonts w:hint="default" w:ascii="Times New Roman" w:hAnsi="Times New Roman" w:eastAsia="宋体" w:cs="Times New Roman"/>
                <w:i w:val="0"/>
                <w:iCs w:val="0"/>
                <w:snapToGrid w:val="0"/>
                <w:color w:val="000000"/>
                <w:kern w:val="0"/>
                <w:sz w:val="18"/>
                <w:szCs w:val="18"/>
                <w:u w:val="none"/>
                <w:lang w:val="en-US" w:eastAsia="zh-CN" w:bidi="ar"/>
              </w:rPr>
              <w:t>99%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1000Kg/</w:t>
            </w:r>
            <w:r>
              <w:rPr>
                <w:rFonts w:hint="eastAsia" w:ascii="宋体" w:hAnsi="宋体" w:eastAsia="宋体" w:cs="宋体"/>
                <w:i w:val="0"/>
                <w:iCs w:val="0"/>
                <w:snapToGrid w:val="0"/>
                <w:color w:val="000000"/>
                <w:kern w:val="0"/>
                <w:sz w:val="18"/>
                <w:szCs w:val="18"/>
                <w:u w:val="none"/>
                <w:lang w:val="en-US" w:eastAsia="zh-CN" w:bidi="ar"/>
              </w:rPr>
              <w:t>袋，</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436275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石灰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154620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复合碱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包（牛皮纸），</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379600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亚硫酸氢钠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1531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199030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亚硫酸氢钠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65%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2778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83340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硫化钠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96300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硫化钠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2507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75210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氯化钙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432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276480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氯化钙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74%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1125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450000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盐酸</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吨桶，30吨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1063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42520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盐酸</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34240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面粉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食品级</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4228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67648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补碳剂</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COD≥30万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905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81450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尿素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固定</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总氮含量≥46%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2637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26370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磷肥</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总磷含量≥</w:t>
            </w: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4309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43090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碳酸钠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2558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127900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聚合硫酸铁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全铁含量≥</w:t>
            </w: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640.5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25620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聚合硫酸铁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全铁含量≥</w:t>
            </w:r>
            <w:r>
              <w:rPr>
                <w:rFonts w:hint="default" w:ascii="Times New Roman" w:hAnsi="Times New Roman" w:eastAsia="宋体" w:cs="Times New Roman"/>
                <w:i w:val="0"/>
                <w:iCs w:val="0"/>
                <w:snapToGrid w:val="0"/>
                <w:color w:val="000000"/>
                <w:kern w:val="0"/>
                <w:sz w:val="18"/>
                <w:szCs w:val="18"/>
                <w:u w:val="none"/>
                <w:lang w:val="en-US" w:eastAsia="zh-CN" w:bidi="ar"/>
              </w:rPr>
              <w:t>19.5%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1921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76840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六水氯化铝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吨桶，30吨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1270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25400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六水氯化铝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3299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65980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柠檬酸</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99.5%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6324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126480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消泡剂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20%非硅</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桶，</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6846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136920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PH校正液4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4750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PH校正液7</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8160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PH校正液10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4800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40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ORP校正液240MV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12550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41</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ORP校正液470MV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12550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893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1"/>
                <w:szCs w:val="11"/>
                <w:u w:val="none"/>
                <w:lang w:bidi="ar"/>
              </w:rPr>
            </w:pPr>
            <w:r>
              <w:rPr>
                <w:rFonts w:hint="eastAsia" w:ascii="宋体" w:hAnsi="宋体" w:eastAsia="宋体" w:cs="宋体"/>
                <w:b/>
                <w:bCs/>
                <w:i w:val="0"/>
                <w:iCs w:val="0"/>
                <w:snapToGrid w:val="0"/>
                <w:color w:val="000000"/>
                <w:sz w:val="22"/>
                <w:szCs w:val="22"/>
                <w:u w:val="none"/>
                <w:lang w:val="en-US" w:eastAsia="zh-CN" w:bidi="ar"/>
              </w:rPr>
              <w:t>总价</w:t>
            </w:r>
            <w:r>
              <w:rPr>
                <w:rFonts w:hint="eastAsia" w:ascii="宋体" w:hAnsi="宋体" w:cs="宋体"/>
                <w:b/>
                <w:bCs/>
                <w:i w:val="0"/>
                <w:iCs w:val="0"/>
                <w:snapToGrid w:val="0"/>
                <w:color w:val="000000"/>
                <w:sz w:val="22"/>
                <w:szCs w:val="22"/>
                <w:u w:val="none"/>
                <w:lang w:val="en-US" w:eastAsia="zh-CN" w:bidi="ar"/>
              </w:rPr>
              <w:t>：人民币1599万元</w:t>
            </w:r>
          </w:p>
        </w:tc>
      </w:tr>
    </w:tbl>
    <w:p>
      <w:pPr>
        <w:widowControl w:val="0"/>
        <w:kinsoku/>
        <w:autoSpaceDE/>
        <w:autoSpaceDN/>
        <w:adjustRightInd/>
        <w:snapToGrid/>
        <w:spacing w:line="360" w:lineRule="auto"/>
        <w:ind w:firstLine="480" w:firstLineChars="200"/>
        <w:jc w:val="both"/>
        <w:textAlignment w:val="auto"/>
        <w:rPr>
          <w:rFonts w:hint="eastAsia" w:eastAsia="宋体" w:cs="Times New Roman"/>
          <w:snapToGrid/>
          <w:color w:val="000000" w:themeColor="text1"/>
          <w:kern w:val="2"/>
          <w:sz w:val="24"/>
          <w:szCs w:val="24"/>
          <w:lang w:val="en-US" w:eastAsia="zh-CN"/>
          <w14:textFill>
            <w14:solidFill>
              <w14:schemeClr w14:val="tx1"/>
            </w14:solidFill>
          </w14:textFill>
        </w:rPr>
      </w:pPr>
      <w:r>
        <w:rPr>
          <w:rFonts w:hint="eastAsia" w:eastAsia="宋体" w:cs="Times New Roman"/>
          <w:snapToGrid/>
          <w:color w:val="000000" w:themeColor="text1"/>
          <w:kern w:val="2"/>
          <w:sz w:val="24"/>
          <w:szCs w:val="24"/>
          <w:lang w:val="en-US" w:eastAsia="zh-CN"/>
          <w14:textFill>
            <w14:solidFill>
              <w14:schemeClr w14:val="tx1"/>
            </w14:solidFill>
          </w14:textFill>
        </w:rPr>
        <w:t>（一）报价要求</w:t>
      </w:r>
    </w:p>
    <w:p>
      <w:pPr>
        <w:widowControl w:val="0"/>
        <w:kinsoku/>
        <w:autoSpaceDE/>
        <w:autoSpaceDN/>
        <w:adjustRightInd/>
        <w:snapToGrid/>
        <w:spacing w:line="360" w:lineRule="auto"/>
        <w:ind w:firstLine="482" w:firstLineChars="200"/>
        <w:jc w:val="both"/>
        <w:textAlignment w:val="auto"/>
        <w:rPr>
          <w:rFonts w:hint="eastAsia" w:eastAsia="宋体" w:cs="Times New Roman"/>
          <w:b/>
          <w:bCs/>
          <w:snapToGrid/>
          <w:color w:val="000000" w:themeColor="text1"/>
          <w:kern w:val="2"/>
          <w:sz w:val="24"/>
          <w:szCs w:val="24"/>
          <w14:textFill>
            <w14:solidFill>
              <w14:schemeClr w14:val="tx1"/>
            </w14:solidFill>
          </w14:textFill>
        </w:rPr>
      </w:pPr>
      <w:r>
        <w:rPr>
          <w:rFonts w:hint="eastAsia" w:eastAsia="宋体" w:cs="Times New Roman"/>
          <w:b/>
          <w:bCs/>
          <w:snapToGrid/>
          <w:color w:val="000000" w:themeColor="text1"/>
          <w:kern w:val="2"/>
          <w:sz w:val="24"/>
          <w:szCs w:val="24"/>
          <w14:textFill>
            <w14:solidFill>
              <w14:schemeClr w14:val="tx1"/>
            </w14:solidFill>
          </w14:textFill>
        </w:rPr>
        <w:t>★</w:t>
      </w:r>
      <w:r>
        <w:rPr>
          <w:rFonts w:hint="eastAsia" w:eastAsia="宋体" w:cs="Times New Roman"/>
          <w:b/>
          <w:bCs/>
          <w:snapToGrid/>
          <w:color w:val="000000" w:themeColor="text1"/>
          <w:kern w:val="2"/>
          <w:sz w:val="24"/>
          <w:szCs w:val="24"/>
          <w:lang w:val="en-US" w:eastAsia="zh-CN"/>
          <w14:textFill>
            <w14:solidFill>
              <w14:schemeClr w14:val="tx1"/>
            </w14:solidFill>
          </w14:textFill>
        </w:rPr>
        <w:t>1</w:t>
      </w:r>
      <w:r>
        <w:rPr>
          <w:rFonts w:hint="eastAsia" w:eastAsia="宋体" w:cs="Times New Roman"/>
          <w:b/>
          <w:bCs/>
          <w:snapToGrid/>
          <w:color w:val="000000" w:themeColor="text1"/>
          <w:kern w:val="2"/>
          <w:sz w:val="24"/>
          <w:szCs w:val="24"/>
          <w14:textFill>
            <w14:solidFill>
              <w14:schemeClr w14:val="tx1"/>
            </w14:solidFill>
          </w14:textFill>
        </w:rPr>
        <w:t>. 供应商报价低于最高限价60%的，必须在投标文件中说明报价理由。其报价理由交由评标委员会进行检查和核算。若不提交或报价理由不成立的，将被评标委员会认定为低于成本价恶意竞争而导致投标无效。</w:t>
      </w:r>
    </w:p>
    <w:p>
      <w:pPr>
        <w:widowControl w:val="0"/>
        <w:kinsoku/>
        <w:autoSpaceDE/>
        <w:autoSpaceDN/>
        <w:adjustRightInd/>
        <w:snapToGrid/>
        <w:spacing w:line="360" w:lineRule="auto"/>
        <w:ind w:firstLine="482" w:firstLineChars="200"/>
        <w:jc w:val="both"/>
        <w:textAlignment w:val="auto"/>
        <w:rPr>
          <w:rFonts w:hint="default" w:eastAsia="宋体" w:cs="Times New Roman"/>
          <w:b/>
          <w:bCs/>
          <w:snapToGrid/>
          <w:color w:val="000000" w:themeColor="text1"/>
          <w:kern w:val="2"/>
          <w:sz w:val="24"/>
          <w:szCs w:val="24"/>
          <w:lang w:val="en-US" w:eastAsia="zh-CN"/>
          <w14:textFill>
            <w14:solidFill>
              <w14:schemeClr w14:val="tx1"/>
            </w14:solidFill>
          </w14:textFill>
        </w:rPr>
      </w:pPr>
      <w:r>
        <w:rPr>
          <w:rFonts w:hint="eastAsia" w:eastAsia="宋体" w:cs="Times New Roman"/>
          <w:b/>
          <w:bCs/>
          <w:snapToGrid/>
          <w:color w:val="000000" w:themeColor="text1"/>
          <w:kern w:val="2"/>
          <w:sz w:val="24"/>
          <w:szCs w:val="24"/>
          <w14:textFill>
            <w14:solidFill>
              <w14:schemeClr w14:val="tx1"/>
            </w14:solidFill>
          </w14:textFill>
        </w:rPr>
        <w:t>★</w:t>
      </w:r>
      <w:r>
        <w:rPr>
          <w:rFonts w:hint="eastAsia" w:eastAsia="宋体" w:cs="Times New Roman"/>
          <w:b/>
          <w:bCs/>
          <w:snapToGrid/>
          <w:color w:val="000000" w:themeColor="text1"/>
          <w:kern w:val="2"/>
          <w:sz w:val="24"/>
          <w:szCs w:val="24"/>
          <w:lang w:val="en-US" w:eastAsia="zh-CN"/>
          <w14:textFill>
            <w14:solidFill>
              <w14:schemeClr w14:val="tx1"/>
            </w14:solidFill>
          </w14:textFill>
        </w:rPr>
        <w:t>2.供应商各类药剂投标单价不得超过采购清单中单价上限。</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w:t>
      </w:r>
      <w:r>
        <w:rPr>
          <w:rFonts w:hint="eastAsia" w:eastAsia="宋体" w:cs="Times New Roman"/>
          <w:snapToGrid/>
          <w:color w:val="000000" w:themeColor="text1"/>
          <w:kern w:val="2"/>
          <w:sz w:val="24"/>
          <w:szCs w:val="24"/>
          <w:lang w:val="en-US" w:eastAsia="zh-CN"/>
          <w14:textFill>
            <w14:solidFill>
              <w14:schemeClr w14:val="tx1"/>
            </w14:solidFill>
          </w14:textFill>
        </w:rPr>
        <w:t>二</w:t>
      </w:r>
      <w:r>
        <w:rPr>
          <w:rFonts w:hint="eastAsia" w:eastAsia="宋体" w:cs="Times New Roman"/>
          <w:snapToGrid/>
          <w:color w:val="000000" w:themeColor="text1"/>
          <w:kern w:val="2"/>
          <w:sz w:val="24"/>
          <w:szCs w:val="24"/>
          <w14:textFill>
            <w14:solidFill>
              <w14:schemeClr w14:val="tx1"/>
            </w14:solidFill>
          </w14:textFill>
        </w:rPr>
        <w:t xml:space="preserve">）货物质量要求：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1. 所供货物必须符合中华人民共和国国家标准或行业标准；</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2. 所有产品的质量标准必须按国家现行的规范。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w:t>
      </w:r>
      <w:r>
        <w:rPr>
          <w:rFonts w:hint="eastAsia" w:eastAsia="宋体" w:cs="Times New Roman"/>
          <w:snapToGrid/>
          <w:color w:val="000000" w:themeColor="text1"/>
          <w:kern w:val="2"/>
          <w:sz w:val="24"/>
          <w:szCs w:val="24"/>
          <w:lang w:val="en-US" w:eastAsia="zh-CN"/>
          <w14:textFill>
            <w14:solidFill>
              <w14:schemeClr w14:val="tx1"/>
            </w14:solidFill>
          </w14:textFill>
        </w:rPr>
        <w:t>三</w:t>
      </w:r>
      <w:r>
        <w:rPr>
          <w:rFonts w:hint="eastAsia" w:eastAsia="宋体" w:cs="Times New Roman"/>
          <w:snapToGrid/>
          <w:color w:val="000000" w:themeColor="text1"/>
          <w:kern w:val="2"/>
          <w:sz w:val="24"/>
          <w:szCs w:val="24"/>
          <w14:textFill>
            <w14:solidFill>
              <w14:schemeClr w14:val="tx1"/>
            </w14:solidFill>
          </w14:textFill>
        </w:rPr>
        <w:t xml:space="preserve">）服务要求：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1. 中标人与采购人签订合同前，采购人有权单方面要求提交所有货物的样品作为验收依据，经采购人签字盖章确认后方可批量供货。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2. 产品质量指标须根据国家相关部门新颁发的有关文件规定进行调整。采购人有权对产品质量进行抽查。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3. 中标人须配合采购人对投标产品的要求，有计划的进行供货。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4. 因质量问题发生争议时，由地级市或以上的质检部门进行相关鉴定，鉴定结果符合质量技术要求时，发生的所有鉴定费由采购方承担；鉴定结果不符合质量技术要求时，发生的所有鉴定费由中标人承担。</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5. </w:t>
      </w:r>
      <w:r>
        <w:rPr>
          <w:rFonts w:hint="eastAsia" w:ascii="宋体" w:hAnsi="宋体" w:eastAsia="宋体" w:cs="宋体"/>
          <w:sz w:val="24"/>
          <w:szCs w:val="24"/>
          <w:lang w:bidi="ar"/>
        </w:rPr>
        <w:t>采购人有权对产品质量进行抽查。采购人视情况有权随机抽取产品自检，若自检不合格送相关检测单位进行检验，第三方检测合格，则检验费用均由</w:t>
      </w:r>
      <w:r>
        <w:rPr>
          <w:rFonts w:hint="eastAsia" w:ascii="宋体" w:hAnsi="宋体" w:eastAsia="宋体" w:cs="宋体"/>
          <w:sz w:val="24"/>
          <w:szCs w:val="24"/>
          <w:lang w:val="en-US" w:eastAsia="zh-CN" w:bidi="ar"/>
        </w:rPr>
        <w:t>采购人</w:t>
      </w:r>
      <w:r>
        <w:rPr>
          <w:rFonts w:hint="eastAsia" w:ascii="宋体" w:hAnsi="宋体" w:eastAsia="宋体" w:cs="宋体"/>
          <w:sz w:val="24"/>
          <w:szCs w:val="24"/>
          <w:lang w:bidi="ar"/>
        </w:rPr>
        <w:t xml:space="preserve">支付；若检测结果不合格，则所有检验费用均由中标人支付。抽验结果要符合国家标准或行业标准，否则，采购人有权单方面解除合同和追究中标人由此引起的责任。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6. 本项目不得转包他人，否则采购人有权终止合同，所带来的一切损失由中标人负责。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7. 中标人根据合同要求交货后，在保质期内出现质量问题的应予以无条件更换。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8. 中标人应提供服务专线，并有专人负责以方便工作联系和服务。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9. 服务期内，中标人应按合同约定及时送货。否则，如第一次未能及时送货的，采购人对中标人进行口头警告；如第二次未能及时送货的，采购人对中标人进行书面警告；如第三次未能及时送货的或未能应急送货的，采购人有权利随时单方终止合同而无需承担任何责任，中标人自行承担合同终止后的全部损失，并承担由此造成采购人损失以及扣除全部履约保证金作为违约金。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10. 中标人中标后不得无故不与采购人签订合同，否则，所产生的所有损失由中标供应商承担。 </w:t>
      </w:r>
    </w:p>
    <w:p>
      <w:pPr>
        <w:widowControl w:val="0"/>
        <w:kinsoku/>
        <w:autoSpaceDE/>
        <w:autoSpaceDN/>
        <w:adjustRightInd/>
        <w:snapToGrid/>
        <w:spacing w:line="360" w:lineRule="auto"/>
        <w:ind w:firstLine="480" w:firstLineChars="200"/>
        <w:jc w:val="both"/>
        <w:textAlignment w:val="auto"/>
        <w:rPr>
          <w:rFonts w:eastAsia="宋体" w:cs="Times New Roman"/>
          <w:snapToGrid/>
          <w:color w:val="auto"/>
          <w:kern w:val="2"/>
          <w:sz w:val="24"/>
          <w:szCs w:val="24"/>
        </w:rPr>
      </w:pPr>
      <w:r>
        <w:rPr>
          <w:rFonts w:hint="eastAsia" w:eastAsia="宋体" w:cs="Times New Roman"/>
          <w:snapToGrid/>
          <w:color w:val="auto"/>
          <w:kern w:val="2"/>
          <w:sz w:val="24"/>
          <w:szCs w:val="24"/>
        </w:rPr>
        <w:t xml:space="preserve">11. 由于采购人单位经营的特殊性，中标人应全年365天提供送货服务。 </w:t>
      </w:r>
    </w:p>
    <w:p>
      <w:pPr>
        <w:widowControl w:val="0"/>
        <w:kinsoku/>
        <w:autoSpaceDE/>
        <w:autoSpaceDN/>
        <w:adjustRightInd/>
        <w:snapToGrid/>
        <w:spacing w:line="360" w:lineRule="auto"/>
        <w:ind w:firstLine="480" w:firstLineChars="200"/>
        <w:jc w:val="both"/>
        <w:textAlignment w:val="auto"/>
        <w:rPr>
          <w:rFonts w:eastAsia="宋体" w:cs="Times New Roman"/>
          <w:snapToGrid/>
          <w:color w:val="auto"/>
          <w:kern w:val="2"/>
          <w:sz w:val="24"/>
          <w:szCs w:val="24"/>
        </w:rPr>
      </w:pPr>
      <w:r>
        <w:rPr>
          <w:rFonts w:hint="eastAsia" w:eastAsia="宋体" w:cs="Times New Roman"/>
          <w:snapToGrid/>
          <w:color w:val="auto"/>
          <w:kern w:val="2"/>
          <w:sz w:val="24"/>
          <w:szCs w:val="24"/>
        </w:rPr>
        <w:t>12. 服务期限为合</w:t>
      </w:r>
      <w:r>
        <w:rPr>
          <w:rFonts w:hint="eastAsia" w:eastAsia="宋体" w:cs="Times New Roman"/>
          <w:snapToGrid/>
          <w:color w:val="000000" w:themeColor="text1"/>
          <w:kern w:val="2"/>
          <w:sz w:val="24"/>
          <w:szCs w:val="24"/>
          <w14:textFill>
            <w14:solidFill>
              <w14:schemeClr w14:val="tx1"/>
            </w14:solidFill>
          </w14:textFill>
        </w:rPr>
        <w:t>同签</w:t>
      </w:r>
      <w:r>
        <w:rPr>
          <w:rFonts w:hint="eastAsia" w:eastAsia="宋体" w:cs="Times New Roman"/>
          <w:snapToGrid/>
          <w:color w:val="auto"/>
          <w:kern w:val="2"/>
          <w:sz w:val="24"/>
          <w:szCs w:val="24"/>
        </w:rPr>
        <w:t>订之日起一年。</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auto"/>
          <w:kern w:val="2"/>
          <w:sz w:val="24"/>
          <w:szCs w:val="24"/>
        </w:rPr>
        <w:t>13</w:t>
      </w:r>
      <w:r>
        <w:rPr>
          <w:rFonts w:hint="eastAsia" w:cs="Times New Roman"/>
          <w:snapToGrid/>
          <w:color w:val="auto"/>
          <w:kern w:val="2"/>
          <w:sz w:val="24"/>
          <w:szCs w:val="24"/>
          <w:lang w:eastAsia="zh-CN"/>
        </w:rPr>
        <w:t>.</w:t>
      </w:r>
      <w:r>
        <w:rPr>
          <w:rFonts w:hint="eastAsia" w:cs="Times New Roman"/>
          <w:snapToGrid/>
          <w:color w:val="auto"/>
          <w:kern w:val="2"/>
          <w:sz w:val="24"/>
          <w:szCs w:val="24"/>
          <w:lang w:val="en-US" w:eastAsia="zh-CN"/>
        </w:rPr>
        <w:t xml:space="preserve"> </w:t>
      </w:r>
      <w:r>
        <w:rPr>
          <w:rFonts w:hint="eastAsia" w:eastAsia="宋体" w:cs="Times New Roman"/>
          <w:snapToGrid/>
          <w:color w:val="auto"/>
          <w:kern w:val="2"/>
          <w:sz w:val="24"/>
          <w:szCs w:val="24"/>
        </w:rPr>
        <w:t>中标人应提供危险品运输的相应资</w:t>
      </w:r>
      <w:r>
        <w:rPr>
          <w:rFonts w:hint="eastAsia" w:eastAsia="宋体" w:cs="Times New Roman"/>
          <w:snapToGrid/>
          <w:color w:val="000000" w:themeColor="text1"/>
          <w:kern w:val="2"/>
          <w:sz w:val="24"/>
          <w:szCs w:val="24"/>
          <w14:textFill>
            <w14:solidFill>
              <w14:schemeClr w14:val="tx1"/>
            </w14:solidFill>
          </w14:textFill>
        </w:rPr>
        <w:t xml:space="preserve">质给釆购人备案。 </w:t>
      </w:r>
    </w:p>
    <w:p>
      <w:pPr>
        <w:widowControl w:val="0"/>
        <w:kinsoku/>
        <w:autoSpaceDE/>
        <w:autoSpaceDN/>
        <w:adjustRightInd/>
        <w:snapToGrid/>
        <w:spacing w:line="360" w:lineRule="auto"/>
        <w:ind w:firstLine="482" w:firstLineChars="200"/>
        <w:jc w:val="both"/>
        <w:textAlignment w:val="auto"/>
        <w:rPr>
          <w:rFonts w:eastAsia="宋体" w:cs="Times New Roman"/>
          <w:b/>
          <w:bCs/>
          <w:snapToGrid/>
          <w:color w:val="000000" w:themeColor="text1"/>
          <w:kern w:val="2"/>
          <w:sz w:val="24"/>
          <w:szCs w:val="24"/>
          <w14:textFill>
            <w14:solidFill>
              <w14:schemeClr w14:val="tx1"/>
            </w14:solidFill>
          </w14:textFill>
        </w:rPr>
      </w:pPr>
      <w:r>
        <w:rPr>
          <w:rFonts w:hint="eastAsia" w:eastAsia="宋体" w:cs="Times New Roman"/>
          <w:b/>
          <w:bCs/>
          <w:snapToGrid/>
          <w:color w:val="000000" w:themeColor="text1"/>
          <w:kern w:val="2"/>
          <w:sz w:val="24"/>
          <w:szCs w:val="24"/>
          <w14:textFill>
            <w14:solidFill>
              <w14:schemeClr w14:val="tx1"/>
            </w14:solidFill>
          </w14:textFill>
        </w:rPr>
        <w:t xml:space="preserve"> 四、交货及验收要求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（一）交货时间：需根据采购方的要求送货，原则上采购方需提前2天通知送货，中标方应于接到通知后2天内送到采购方指定仓库；对特殊需求的物品及急用物品，在接到采购通知后应于24小时内送达。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（二） 交货地点：深圳市宝安区松岗街道江边社区江碧环保科技创新产业园——工业废水集中处理厂。</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（三）交货要求：符合产品技术要求、品牌包装完好，质量文件齐全，如合格证、说明书等，不合格的采购方有权拒绝接收，并不予以结算。 </w:t>
      </w:r>
    </w:p>
    <w:p>
      <w:pPr>
        <w:widowControl w:val="0"/>
        <w:kinsoku/>
        <w:autoSpaceDE/>
        <w:autoSpaceDN/>
        <w:adjustRightInd/>
        <w:snapToGrid/>
        <w:spacing w:line="360" w:lineRule="auto"/>
        <w:ind w:firstLine="482" w:firstLineChars="200"/>
        <w:jc w:val="both"/>
        <w:textAlignment w:val="auto"/>
        <w:rPr>
          <w:rFonts w:eastAsia="宋体" w:cs="Times New Roman"/>
          <w:b/>
          <w:bCs/>
          <w:snapToGrid/>
          <w:color w:val="000000" w:themeColor="text1"/>
          <w:kern w:val="2"/>
          <w:sz w:val="24"/>
          <w:szCs w:val="24"/>
          <w14:textFill>
            <w14:solidFill>
              <w14:schemeClr w14:val="tx1"/>
            </w14:solidFill>
          </w14:textFill>
        </w:rPr>
      </w:pPr>
      <w:r>
        <w:rPr>
          <w:rFonts w:hint="eastAsia" w:eastAsia="宋体" w:cs="Times New Roman"/>
          <w:b/>
          <w:bCs/>
          <w:snapToGrid/>
          <w:color w:val="000000" w:themeColor="text1"/>
          <w:kern w:val="2"/>
          <w:sz w:val="24"/>
          <w:szCs w:val="24"/>
          <w14:textFill>
            <w14:solidFill>
              <w14:schemeClr w14:val="tx1"/>
            </w14:solidFill>
          </w14:textFill>
        </w:rPr>
        <w:t>（五）验收要求：</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1.中标方需提供药剂的相关技术要求、质量文件、标准规格及使用说明书等做为附件提供给采购方。</w:t>
      </w:r>
    </w:p>
    <w:p>
      <w:pPr>
        <w:widowControl w:val="0"/>
        <w:kinsoku/>
        <w:autoSpaceDE/>
        <w:autoSpaceDN/>
        <w:adjustRightInd/>
        <w:snapToGrid/>
        <w:spacing w:line="360" w:lineRule="auto"/>
        <w:ind w:firstLine="480" w:firstLineChars="200"/>
        <w:jc w:val="both"/>
        <w:textAlignment w:val="auto"/>
        <w:rPr>
          <w:rFonts w:eastAsia="宋体" w:cs="Times New Roman"/>
          <w:snapToGrid/>
          <w:color w:val="auto"/>
          <w:kern w:val="2"/>
          <w:sz w:val="24"/>
          <w:szCs w:val="24"/>
        </w:rPr>
      </w:pPr>
      <w:r>
        <w:rPr>
          <w:rFonts w:hint="eastAsia" w:eastAsia="宋体" w:cs="Times New Roman"/>
          <w:snapToGrid/>
          <w:color w:val="auto"/>
          <w:kern w:val="2"/>
          <w:sz w:val="24"/>
          <w:szCs w:val="24"/>
        </w:rPr>
        <w:t>2.</w:t>
      </w:r>
      <w:r>
        <w:rPr>
          <w:rFonts w:hint="eastAsia" w:ascii="宋体" w:hAnsi="宋体" w:eastAsia="宋体" w:cs="宋体"/>
          <w:color w:val="auto"/>
          <w:sz w:val="24"/>
          <w:szCs w:val="24"/>
        </w:rPr>
        <w:t>采购方</w:t>
      </w:r>
      <w:r>
        <w:rPr>
          <w:rFonts w:ascii="宋体" w:hAnsi="宋体" w:eastAsia="宋体" w:cs="宋体"/>
          <w:color w:val="auto"/>
          <w:sz w:val="24"/>
          <w:szCs w:val="24"/>
        </w:rPr>
        <w:t>根据货物清单进行实物验收</w:t>
      </w:r>
      <w:r>
        <w:rPr>
          <w:rFonts w:ascii="宋体" w:hAnsi="宋体" w:eastAsia="宋体" w:cs="宋体"/>
          <w:color w:val="auto"/>
          <w:spacing w:val="-29"/>
          <w:sz w:val="24"/>
          <w:szCs w:val="24"/>
        </w:rPr>
        <w:t>，</w:t>
      </w:r>
      <w:r>
        <w:rPr>
          <w:rFonts w:ascii="宋体" w:hAnsi="宋体" w:eastAsia="宋体" w:cs="宋体"/>
          <w:color w:val="auto"/>
          <w:sz w:val="24"/>
          <w:szCs w:val="24"/>
        </w:rPr>
        <w:t>对品名</w:t>
      </w:r>
      <w:r>
        <w:rPr>
          <w:rFonts w:ascii="宋体" w:hAnsi="宋体" w:eastAsia="宋体" w:cs="宋体"/>
          <w:color w:val="auto"/>
          <w:spacing w:val="-29"/>
          <w:sz w:val="24"/>
          <w:szCs w:val="24"/>
        </w:rPr>
        <w:t>、</w:t>
      </w:r>
      <w:r>
        <w:rPr>
          <w:rFonts w:ascii="宋体" w:hAnsi="宋体" w:eastAsia="宋体" w:cs="宋体"/>
          <w:color w:val="auto"/>
          <w:sz w:val="24"/>
          <w:szCs w:val="24"/>
        </w:rPr>
        <w:t>价格</w:t>
      </w:r>
      <w:r>
        <w:rPr>
          <w:rFonts w:ascii="宋体" w:hAnsi="宋体" w:eastAsia="宋体" w:cs="宋体"/>
          <w:color w:val="auto"/>
          <w:spacing w:val="-29"/>
          <w:sz w:val="24"/>
          <w:szCs w:val="24"/>
        </w:rPr>
        <w:t>、</w:t>
      </w:r>
      <w:r>
        <w:rPr>
          <w:rFonts w:ascii="宋体" w:hAnsi="宋体" w:eastAsia="宋体" w:cs="宋体"/>
          <w:color w:val="auto"/>
          <w:sz w:val="24"/>
          <w:szCs w:val="24"/>
        </w:rPr>
        <w:t>规格</w:t>
      </w:r>
      <w:r>
        <w:rPr>
          <w:rFonts w:ascii="宋体" w:hAnsi="宋体" w:eastAsia="宋体" w:cs="宋体"/>
          <w:color w:val="auto"/>
          <w:spacing w:val="-29"/>
          <w:sz w:val="24"/>
          <w:szCs w:val="24"/>
        </w:rPr>
        <w:t>、</w:t>
      </w:r>
      <w:r>
        <w:rPr>
          <w:rFonts w:ascii="宋体" w:hAnsi="宋体" w:eastAsia="宋体" w:cs="宋体"/>
          <w:color w:val="auto"/>
          <w:sz w:val="24"/>
          <w:szCs w:val="24"/>
        </w:rPr>
        <w:t>型</w:t>
      </w:r>
      <w:r>
        <w:rPr>
          <w:rFonts w:ascii="宋体" w:hAnsi="宋体" w:eastAsia="宋体" w:cs="宋体"/>
          <w:color w:val="auto"/>
          <w:spacing w:val="2"/>
          <w:sz w:val="24"/>
          <w:szCs w:val="24"/>
        </w:rPr>
        <w:t>号</w:t>
      </w:r>
      <w:r>
        <w:rPr>
          <w:rFonts w:ascii="宋体" w:hAnsi="宋体" w:eastAsia="宋体" w:cs="宋体"/>
          <w:color w:val="auto"/>
          <w:spacing w:val="-29"/>
          <w:sz w:val="24"/>
          <w:szCs w:val="24"/>
        </w:rPr>
        <w:t>、</w:t>
      </w:r>
      <w:r>
        <w:rPr>
          <w:rFonts w:ascii="宋体" w:hAnsi="宋体" w:eastAsia="宋体" w:cs="宋体"/>
          <w:color w:val="auto"/>
          <w:sz w:val="24"/>
          <w:szCs w:val="24"/>
        </w:rPr>
        <w:t xml:space="preserve">质量和数量、 </w:t>
      </w:r>
      <w:r>
        <w:rPr>
          <w:rFonts w:ascii="宋体" w:hAnsi="宋体" w:eastAsia="宋体" w:cs="宋体"/>
          <w:color w:val="auto"/>
          <w:spacing w:val="-2"/>
          <w:sz w:val="24"/>
          <w:szCs w:val="24"/>
        </w:rPr>
        <w:t>生产日期、有效期等当面点清并验收，凡</w:t>
      </w:r>
      <w:r>
        <w:rPr>
          <w:rFonts w:ascii="宋体" w:hAnsi="宋体" w:eastAsia="宋体" w:cs="宋体"/>
          <w:color w:val="auto"/>
          <w:sz w:val="24"/>
          <w:szCs w:val="24"/>
        </w:rPr>
        <w:t>不符合要求的</w:t>
      </w:r>
      <w:r>
        <w:rPr>
          <w:rFonts w:hint="eastAsia" w:ascii="宋体" w:hAnsi="宋体" w:eastAsia="宋体" w:cs="宋体"/>
          <w:color w:val="auto"/>
          <w:sz w:val="24"/>
          <w:szCs w:val="24"/>
        </w:rPr>
        <w:t>，采购方工作人员</w:t>
      </w:r>
      <w:r>
        <w:rPr>
          <w:rFonts w:ascii="宋体" w:hAnsi="宋体" w:eastAsia="宋体" w:cs="宋体"/>
          <w:color w:val="auto"/>
          <w:sz w:val="24"/>
          <w:szCs w:val="24"/>
        </w:rPr>
        <w:t>有权拒绝收货。验收合格</w:t>
      </w:r>
      <w:r>
        <w:rPr>
          <w:rFonts w:hint="eastAsia" w:ascii="宋体" w:hAnsi="宋体" w:eastAsia="宋体" w:cs="宋体"/>
          <w:color w:val="auto"/>
          <w:sz w:val="24"/>
          <w:szCs w:val="24"/>
        </w:rPr>
        <w:t>后双方工作人员</w:t>
      </w:r>
      <w:r>
        <w:rPr>
          <w:rFonts w:ascii="宋体" w:hAnsi="宋体" w:eastAsia="宋体" w:cs="宋体"/>
          <w:color w:val="auto"/>
          <w:sz w:val="24"/>
          <w:szCs w:val="24"/>
        </w:rPr>
        <w:t>签字</w:t>
      </w:r>
      <w:r>
        <w:rPr>
          <w:rFonts w:hint="eastAsia" w:ascii="宋体" w:hAnsi="宋体" w:eastAsia="宋体" w:cs="宋体"/>
          <w:color w:val="auto"/>
          <w:sz w:val="24"/>
          <w:szCs w:val="24"/>
        </w:rPr>
        <w:t>确认</w:t>
      </w:r>
      <w:r>
        <w:rPr>
          <w:rFonts w:ascii="宋体" w:hAnsi="宋体" w:eastAsia="宋体" w:cs="宋体"/>
          <w:color w:val="auto"/>
          <w:sz w:val="24"/>
          <w:szCs w:val="24"/>
        </w:rPr>
        <w:t>后送货入库</w:t>
      </w:r>
      <w:r>
        <w:rPr>
          <w:rFonts w:hint="eastAsia" w:ascii="宋体" w:hAnsi="宋体" w:eastAsia="宋体" w:cs="宋体"/>
          <w:color w:val="auto"/>
          <w:sz w:val="24"/>
          <w:szCs w:val="24"/>
        </w:rPr>
        <w:t>。</w:t>
      </w:r>
      <w:r>
        <w:rPr>
          <w:rFonts w:hint="eastAsia" w:eastAsia="宋体" w:cs="Times New Roman"/>
          <w:snapToGrid/>
          <w:color w:val="auto"/>
          <w:kern w:val="2"/>
          <w:sz w:val="24"/>
          <w:szCs w:val="24"/>
        </w:rPr>
        <w:t xml:space="preserve"> </w:t>
      </w:r>
    </w:p>
    <w:p>
      <w:pPr>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.验收按国家有关的规定、规范进行。如发现所交付的货物有短缺、次品、损坏或其它不符合本合同规定之情形者，采购</w:t>
      </w:r>
      <w:r>
        <w:rPr>
          <w:rFonts w:hint="eastAsia" w:ascii="宋体" w:hAnsi="宋体" w:eastAsia="宋体" w:cs="宋体"/>
          <w:color w:val="auto"/>
          <w:sz w:val="24"/>
          <w:szCs w:val="24"/>
        </w:rPr>
        <w:t>方</w:t>
      </w:r>
      <w:r>
        <w:rPr>
          <w:rFonts w:ascii="宋体" w:hAnsi="宋体" w:eastAsia="宋体" w:cs="宋体"/>
          <w:color w:val="auto"/>
          <w:sz w:val="24"/>
          <w:szCs w:val="24"/>
        </w:rPr>
        <w:t>应做出详尽的现场记录，双方签</w:t>
      </w:r>
      <w:r>
        <w:rPr>
          <w:rFonts w:hint="eastAsia" w:ascii="宋体" w:hAnsi="宋体" w:eastAsia="宋体" w:cs="宋体"/>
          <w:color w:val="auto"/>
          <w:sz w:val="24"/>
          <w:szCs w:val="24"/>
        </w:rPr>
        <w:t>字确认</w:t>
      </w:r>
      <w:r>
        <w:rPr>
          <w:rFonts w:ascii="宋体" w:hAnsi="宋体" w:eastAsia="宋体" w:cs="宋体"/>
          <w:color w:val="auto"/>
          <w:sz w:val="24"/>
          <w:szCs w:val="24"/>
        </w:rPr>
        <w:t>。 现场记录可用作补充</w:t>
      </w:r>
      <w:r>
        <w:rPr>
          <w:rFonts w:hint="eastAsia" w:ascii="宋体" w:hAnsi="宋体" w:eastAsia="宋体" w:cs="宋体"/>
          <w:color w:val="auto"/>
          <w:sz w:val="24"/>
          <w:szCs w:val="24"/>
        </w:rPr>
        <w:t>作为</w:t>
      </w:r>
      <w:r>
        <w:rPr>
          <w:rFonts w:ascii="宋体" w:hAnsi="宋体" w:eastAsia="宋体" w:cs="宋体"/>
          <w:color w:val="auto"/>
          <w:sz w:val="24"/>
          <w:szCs w:val="24"/>
        </w:rPr>
        <w:t>缺失和更换的有效证据。由此产生费用由中标</w:t>
      </w:r>
      <w:r>
        <w:rPr>
          <w:rFonts w:hint="eastAsia" w:ascii="宋体" w:hAnsi="宋体" w:eastAsia="宋体" w:cs="宋体"/>
          <w:color w:val="auto"/>
          <w:sz w:val="24"/>
          <w:szCs w:val="24"/>
        </w:rPr>
        <w:t>方</w:t>
      </w:r>
      <w:r>
        <w:rPr>
          <w:rFonts w:ascii="宋体" w:hAnsi="宋体" w:eastAsia="宋体" w:cs="宋体"/>
          <w:color w:val="auto"/>
          <w:sz w:val="24"/>
          <w:szCs w:val="24"/>
        </w:rPr>
        <w:t xml:space="preserve">承担。 </w:t>
      </w:r>
    </w:p>
    <w:p>
      <w:pPr>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.中标</w:t>
      </w:r>
      <w:r>
        <w:rPr>
          <w:rFonts w:hint="eastAsia" w:ascii="宋体" w:hAnsi="宋体" w:eastAsia="宋体" w:cs="宋体"/>
          <w:color w:val="auto"/>
          <w:sz w:val="24"/>
          <w:szCs w:val="24"/>
        </w:rPr>
        <w:t>方</w:t>
      </w:r>
      <w:r>
        <w:rPr>
          <w:rFonts w:ascii="宋体" w:hAnsi="宋体" w:eastAsia="宋体" w:cs="宋体"/>
          <w:color w:val="auto"/>
          <w:sz w:val="24"/>
          <w:szCs w:val="24"/>
        </w:rPr>
        <w:t>承担污水处理药剂的装车、运输、到场卸货服务。</w:t>
      </w:r>
      <w:r>
        <w:rPr>
          <w:rFonts w:hint="eastAsia" w:ascii="宋体" w:hAnsi="宋体" w:eastAsia="宋体" w:cs="宋体"/>
          <w:color w:val="auto"/>
          <w:sz w:val="24"/>
          <w:szCs w:val="24"/>
        </w:rPr>
        <w:t>货物</w:t>
      </w:r>
      <w:r>
        <w:rPr>
          <w:rFonts w:ascii="宋体" w:hAnsi="宋体" w:eastAsia="宋体" w:cs="宋体"/>
          <w:color w:val="auto"/>
          <w:sz w:val="24"/>
          <w:szCs w:val="24"/>
        </w:rPr>
        <w:t>药剂到</w:t>
      </w:r>
      <w:r>
        <w:rPr>
          <w:rFonts w:hint="eastAsia" w:ascii="宋体" w:hAnsi="宋体" w:eastAsia="宋体" w:cs="宋体"/>
          <w:color w:val="auto"/>
          <w:sz w:val="24"/>
          <w:szCs w:val="24"/>
        </w:rPr>
        <w:t>达仓库</w:t>
      </w:r>
      <w:r>
        <w:rPr>
          <w:rFonts w:ascii="宋体" w:hAnsi="宋体" w:eastAsia="宋体" w:cs="宋体"/>
          <w:color w:val="auto"/>
          <w:sz w:val="24"/>
          <w:szCs w:val="24"/>
        </w:rPr>
        <w:t>后，</w:t>
      </w:r>
      <w:r>
        <w:rPr>
          <w:rFonts w:hint="eastAsia" w:ascii="宋体" w:hAnsi="宋体" w:eastAsia="宋体" w:cs="宋体"/>
          <w:color w:val="auto"/>
          <w:sz w:val="24"/>
          <w:szCs w:val="24"/>
        </w:rPr>
        <w:t>在</w:t>
      </w:r>
      <w:r>
        <w:rPr>
          <w:rFonts w:ascii="宋体" w:hAnsi="宋体" w:eastAsia="宋体" w:cs="宋体"/>
          <w:color w:val="auto"/>
          <w:sz w:val="24"/>
          <w:szCs w:val="24"/>
        </w:rPr>
        <w:t>装卸过程中，不同种类药剂要分类堆放，并做好相应保护措施，以免药剂在装卸过程中破损</w:t>
      </w:r>
      <w:r>
        <w:rPr>
          <w:rFonts w:hint="eastAsia" w:ascii="宋体" w:hAnsi="宋体" w:eastAsia="宋体" w:cs="宋体"/>
          <w:color w:val="auto"/>
          <w:sz w:val="24"/>
          <w:szCs w:val="24"/>
        </w:rPr>
        <w:t>、</w:t>
      </w:r>
      <w:r>
        <w:rPr>
          <w:rFonts w:ascii="宋体" w:hAnsi="宋体" w:eastAsia="宋体" w:cs="宋体"/>
          <w:color w:val="auto"/>
          <w:sz w:val="24"/>
          <w:szCs w:val="24"/>
        </w:rPr>
        <w:t>受损</w:t>
      </w:r>
      <w:r>
        <w:rPr>
          <w:rFonts w:hint="eastAsia" w:ascii="宋体" w:hAnsi="宋体" w:eastAsia="宋体" w:cs="宋体"/>
          <w:color w:val="auto"/>
          <w:sz w:val="24"/>
          <w:szCs w:val="24"/>
        </w:rPr>
        <w:t>或产生安全问题</w:t>
      </w:r>
      <w:r>
        <w:rPr>
          <w:rFonts w:ascii="宋体" w:hAnsi="宋体" w:eastAsia="宋体" w:cs="宋体"/>
          <w:color w:val="auto"/>
          <w:sz w:val="24"/>
          <w:szCs w:val="24"/>
        </w:rPr>
        <w:t>；另外，氧化性、腐蚀性药剂在装卸过程中应严格遵守有关法律法规要求，在衣着防护上、运输防泄漏上、工具性能上等都要严格满足危化品的储存和运输的要求；如果出现违反危化品运输、装卸</w:t>
      </w:r>
      <w:r>
        <w:rPr>
          <w:rFonts w:hint="eastAsia" w:ascii="宋体" w:hAnsi="宋体" w:eastAsia="宋体" w:cs="宋体"/>
          <w:color w:val="auto"/>
          <w:sz w:val="24"/>
          <w:szCs w:val="24"/>
        </w:rPr>
        <w:t>安全的问题</w:t>
      </w:r>
      <w:r>
        <w:rPr>
          <w:rFonts w:ascii="宋体" w:hAnsi="宋体" w:eastAsia="宋体" w:cs="宋体"/>
          <w:color w:val="auto"/>
          <w:sz w:val="24"/>
          <w:szCs w:val="24"/>
        </w:rPr>
        <w:t>，招标方有权拒绝收货，</w:t>
      </w:r>
      <w:r>
        <w:rPr>
          <w:rFonts w:hint="eastAsia" w:ascii="宋体" w:hAnsi="宋体" w:eastAsia="宋体" w:cs="宋体"/>
          <w:color w:val="auto"/>
          <w:sz w:val="24"/>
          <w:szCs w:val="24"/>
        </w:rPr>
        <w:t>且</w:t>
      </w:r>
      <w:r>
        <w:rPr>
          <w:rFonts w:ascii="宋体" w:hAnsi="宋体" w:eastAsia="宋体" w:cs="宋体"/>
          <w:color w:val="auto"/>
          <w:sz w:val="24"/>
          <w:szCs w:val="24"/>
        </w:rPr>
        <w:t>由此导致产生的监管部门的处罚及对招标方生产的所有刑事及经济责任由中标</w:t>
      </w:r>
      <w:r>
        <w:rPr>
          <w:rFonts w:hint="eastAsia" w:ascii="宋体" w:hAnsi="宋体" w:eastAsia="宋体" w:cs="宋体"/>
          <w:color w:val="auto"/>
          <w:sz w:val="24"/>
          <w:szCs w:val="24"/>
        </w:rPr>
        <w:t>方</w:t>
      </w:r>
      <w:r>
        <w:rPr>
          <w:rFonts w:ascii="宋体" w:hAnsi="宋体" w:eastAsia="宋体" w:cs="宋体"/>
          <w:color w:val="auto"/>
          <w:sz w:val="24"/>
          <w:szCs w:val="24"/>
        </w:rPr>
        <w:t>负责；</w:t>
      </w:r>
    </w:p>
    <w:p>
      <w:pPr>
        <w:widowControl w:val="0"/>
        <w:kinsoku/>
        <w:autoSpaceDE/>
        <w:autoSpaceDN/>
        <w:adjustRightInd/>
        <w:snapToGrid/>
        <w:spacing w:line="360" w:lineRule="auto"/>
        <w:ind w:firstLine="482"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b/>
          <w:bCs/>
          <w:snapToGrid/>
          <w:color w:val="000000" w:themeColor="text1"/>
          <w:kern w:val="2"/>
          <w:sz w:val="24"/>
          <w:szCs w:val="24"/>
          <w14:textFill>
            <w14:solidFill>
              <w14:schemeClr w14:val="tx1"/>
            </w14:solidFill>
          </w14:textFill>
        </w:rPr>
        <w:t xml:space="preserve"> 五、中标人的管理要求。</w:t>
      </w:r>
      <w:r>
        <w:rPr>
          <w:rFonts w:hint="eastAsia" w:eastAsia="宋体" w:cs="Times New Roman"/>
          <w:snapToGrid/>
          <w:color w:val="000000" w:themeColor="text1"/>
          <w:kern w:val="2"/>
          <w:sz w:val="24"/>
          <w:szCs w:val="24"/>
          <w14:textFill>
            <w14:solidFill>
              <w14:schemeClr w14:val="tx1"/>
            </w14:solidFill>
          </w14:textFill>
        </w:rPr>
        <w:t xml:space="preserve"> </w:t>
      </w:r>
    </w:p>
    <w:p>
      <w:pPr>
        <w:widowControl w:val="0"/>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供应商有以下行为，经调查属实的，采购人将立即解除相关供应合同：</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弄虚作假，提供虚假材料取得中标供应资格的；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中标供应项目有转包、分包行为的；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经营情况发生重大变更，已经不具备承接中标供应项目的能力的；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无正当理由拒绝履行合同向采购人供货的；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有行贿、给回扣等不正当竞争行为的；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因货物质量原因导致安全事故的；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所供应货物存在故意假冒伪劣行为的； </w:t>
      </w:r>
    </w:p>
    <w:p>
      <w:pPr>
        <w:widowControl w:val="0"/>
        <w:numPr>
          <w:ilvl w:val="0"/>
          <w:numId w:val="5"/>
        </w:numPr>
        <w:kinsoku/>
        <w:autoSpaceDE/>
        <w:autoSpaceDN/>
        <w:adjustRightInd/>
        <w:snapToGrid/>
        <w:spacing w:line="360" w:lineRule="auto"/>
        <w:ind w:firstLine="480"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 xml:space="preserve">有其他违法违纪行为的。 </w:t>
      </w:r>
    </w:p>
    <w:p>
      <w:pPr>
        <w:widowControl w:val="0"/>
        <w:kinsoku/>
        <w:autoSpaceDE/>
        <w:autoSpaceDN/>
        <w:adjustRightInd/>
        <w:snapToGrid/>
        <w:spacing w:line="360" w:lineRule="auto"/>
        <w:ind w:firstLine="482" w:firstLineChars="200"/>
        <w:jc w:val="both"/>
        <w:textAlignment w:val="auto"/>
        <w:rPr>
          <w:rFonts w:eastAsia="宋体" w:cs="Times New Roman"/>
          <w:snapToGrid/>
          <w:color w:val="000000" w:themeColor="text1"/>
          <w:kern w:val="2"/>
          <w:sz w:val="24"/>
          <w:szCs w:val="24"/>
          <w14:textFill>
            <w14:solidFill>
              <w14:schemeClr w14:val="tx1"/>
            </w14:solidFill>
          </w14:textFill>
        </w:rPr>
      </w:pPr>
      <w:r>
        <w:rPr>
          <w:rFonts w:hint="eastAsia" w:eastAsia="宋体" w:cs="Times New Roman"/>
          <w:b/>
          <w:bCs/>
          <w:snapToGrid/>
          <w:color w:val="000000" w:themeColor="text1"/>
          <w:kern w:val="2"/>
          <w:sz w:val="24"/>
          <w:szCs w:val="24"/>
          <w14:textFill>
            <w14:solidFill>
              <w14:schemeClr w14:val="tx1"/>
            </w14:solidFill>
          </w14:textFill>
        </w:rPr>
        <w:t xml:space="preserve">  六、售后服务</w:t>
      </w:r>
      <w:r>
        <w:rPr>
          <w:rFonts w:hint="eastAsia" w:eastAsia="宋体" w:cs="Times New Roman"/>
          <w:snapToGrid/>
          <w:color w:val="000000" w:themeColor="text1"/>
          <w:kern w:val="2"/>
          <w:sz w:val="24"/>
          <w:szCs w:val="24"/>
          <w14:textFill>
            <w14:solidFill>
              <w14:schemeClr w14:val="tx1"/>
            </w14:solidFill>
          </w14:textFill>
        </w:rPr>
        <w:t xml:space="preserve"> </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1</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14:textFill>
            <w14:solidFill>
              <w14:schemeClr w14:val="tx1"/>
            </w14:solidFill>
          </w14:textFill>
        </w:rPr>
        <w:t>保证所供药剂在有效期内；</w:t>
      </w:r>
      <w:r>
        <w:rPr>
          <w:rFonts w:hint="eastAsia" w:eastAsia="宋体" w:cs="Times New Roman"/>
          <w:snapToGrid/>
          <w:color w:val="000000" w:themeColor="text1"/>
          <w:kern w:val="2"/>
          <w:sz w:val="24"/>
          <w:szCs w:val="24"/>
          <w:lang w:val="en-US" w:eastAsia="zh-CN"/>
          <w14:textFill>
            <w14:solidFill>
              <w14:schemeClr w14:val="tx1"/>
            </w14:solidFill>
          </w14:textFill>
        </w:rPr>
        <w:t>并确保供应时间距离药剂有效期截止时间至少为半年</w:t>
      </w:r>
      <w:r>
        <w:rPr>
          <w:rFonts w:hint="eastAsia" w:eastAsia="宋体" w:cs="Times New Roman"/>
          <w:snapToGrid/>
          <w:color w:val="000000" w:themeColor="text1"/>
          <w:kern w:val="2"/>
          <w:sz w:val="24"/>
          <w:szCs w:val="24"/>
          <w14:textFill>
            <w14:solidFill>
              <w14:schemeClr w14:val="tx1"/>
            </w14:solidFill>
          </w14:textFill>
        </w:rPr>
        <w:t>。</w:t>
      </w:r>
    </w:p>
    <w:p>
      <w:pPr>
        <w:topLinePunct/>
        <w:adjustRightInd w:val="0"/>
        <w:snapToGrid w:val="0"/>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2</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14:textFill>
            <w14:solidFill>
              <w14:schemeClr w14:val="tx1"/>
            </w14:solidFill>
          </w14:textFill>
        </w:rPr>
        <w:t>中标方有责任确保药剂的质量，如发生质量问题，采购方有权追究中标方的责任。</w:t>
      </w:r>
    </w:p>
    <w:p>
      <w:pPr>
        <w:widowControl w:val="0"/>
        <w:kinsoku/>
        <w:autoSpaceDE/>
        <w:autoSpaceDN/>
        <w:adjustRightInd/>
        <w:snapToGrid/>
        <w:spacing w:line="360" w:lineRule="auto"/>
        <w:ind w:firstLine="482" w:firstLineChars="200"/>
        <w:jc w:val="both"/>
        <w:textAlignment w:val="auto"/>
        <w:rPr>
          <w:rFonts w:hint="default" w:eastAsia="宋体" w:cs="Times New Roman"/>
          <w:b/>
          <w:bCs/>
          <w:snapToGrid/>
          <w:color w:val="000000" w:themeColor="text1"/>
          <w:kern w:val="2"/>
          <w:sz w:val="24"/>
          <w:szCs w:val="24"/>
          <w:lang w:val="en-US" w:eastAsia="zh-CN"/>
          <w14:textFill>
            <w14:solidFill>
              <w14:schemeClr w14:val="tx1"/>
            </w14:solidFill>
          </w14:textFill>
        </w:rPr>
      </w:pPr>
      <w:r>
        <w:rPr>
          <w:rFonts w:hint="eastAsia" w:eastAsia="宋体" w:cs="Times New Roman"/>
          <w:b/>
          <w:bCs/>
          <w:snapToGrid/>
          <w:color w:val="000000" w:themeColor="text1"/>
          <w:kern w:val="2"/>
          <w:sz w:val="24"/>
          <w:szCs w:val="24"/>
          <w:lang w:val="en-US" w:eastAsia="zh-CN"/>
          <w14:textFill>
            <w14:solidFill>
              <w14:schemeClr w14:val="tx1"/>
            </w14:solidFill>
          </w14:textFill>
        </w:rPr>
        <w:t>七、其他要求</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1.</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合同类别</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14:textFill>
            <w14:solidFill>
              <w14:schemeClr w14:val="tx1"/>
            </w14:solidFill>
          </w14:textFill>
        </w:rPr>
        <w:t>单价合同,结算金额按照实际采购量结算。</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2.</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履约担保</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14:textFill>
            <w14:solidFill>
              <w14:schemeClr w14:val="tx1"/>
            </w14:solidFill>
          </w14:textFill>
        </w:rPr>
        <w:t>签约合同价的10%，担保方式：银行转账或银行保函。</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3.</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结算方式</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14:textFill>
            <w14:solidFill>
              <w14:schemeClr w14:val="tx1"/>
            </w14:solidFill>
          </w14:textFill>
        </w:rPr>
        <w:t>合同期内各类化学药剂单项价格固定（包含药剂价款、税费、运输费、装卸费、过磅费等一切费用），每月费用按实际化学药剂收货量结算。</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4.</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付款方式</w:t>
      </w:r>
      <w:r>
        <w:rPr>
          <w:rFonts w:hint="eastAsia" w:eastAsia="宋体" w:cs="Times New Roman"/>
          <w:snapToGrid/>
          <w:color w:val="000000" w:themeColor="text1"/>
          <w:kern w:val="2"/>
          <w:sz w:val="24"/>
          <w:szCs w:val="24"/>
          <w:lang w:eastAsia="zh-CN"/>
          <w14:textFill>
            <w14:solidFill>
              <w14:schemeClr w14:val="tx1"/>
            </w14:solidFill>
          </w14:textFill>
        </w:rPr>
        <w:t>：中标方</w:t>
      </w:r>
      <w:r>
        <w:rPr>
          <w:rFonts w:hint="eastAsia" w:eastAsia="宋体" w:cs="Times New Roman"/>
          <w:snapToGrid/>
          <w:color w:val="000000" w:themeColor="text1"/>
          <w:kern w:val="2"/>
          <w:sz w:val="24"/>
          <w:szCs w:val="24"/>
          <w14:textFill>
            <w14:solidFill>
              <w14:schemeClr w14:val="tx1"/>
            </w14:solidFill>
          </w14:textFill>
        </w:rPr>
        <w:t>需在货物结算90天后，凭增值税发票、合同及经双方签字确认的验收凭证和相关收货单据等向</w:t>
      </w:r>
      <w:r>
        <w:rPr>
          <w:rFonts w:hint="eastAsia" w:eastAsia="宋体" w:cs="Times New Roman"/>
          <w:snapToGrid/>
          <w:color w:val="000000" w:themeColor="text1"/>
          <w:kern w:val="2"/>
          <w:sz w:val="24"/>
          <w:szCs w:val="24"/>
          <w:lang w:eastAsia="zh-CN"/>
          <w14:textFill>
            <w14:solidFill>
              <w14:schemeClr w14:val="tx1"/>
            </w14:solidFill>
          </w14:textFill>
        </w:rPr>
        <w:t>招标人</w:t>
      </w:r>
      <w:r>
        <w:rPr>
          <w:rFonts w:hint="eastAsia" w:eastAsia="宋体" w:cs="Times New Roman"/>
          <w:snapToGrid/>
          <w:color w:val="000000" w:themeColor="text1"/>
          <w:kern w:val="2"/>
          <w:sz w:val="24"/>
          <w:szCs w:val="24"/>
          <w14:textFill>
            <w14:solidFill>
              <w14:schemeClr w14:val="tx1"/>
            </w14:solidFill>
          </w14:textFill>
        </w:rPr>
        <w:t>申请付款，</w:t>
      </w:r>
      <w:r>
        <w:rPr>
          <w:rFonts w:hint="eastAsia" w:eastAsia="宋体" w:cs="Times New Roman"/>
          <w:snapToGrid/>
          <w:color w:val="000000" w:themeColor="text1"/>
          <w:kern w:val="2"/>
          <w:sz w:val="24"/>
          <w:szCs w:val="24"/>
          <w:lang w:eastAsia="zh-CN"/>
          <w14:textFill>
            <w14:solidFill>
              <w14:schemeClr w14:val="tx1"/>
            </w14:solidFill>
          </w14:textFill>
        </w:rPr>
        <w:t>招标人</w:t>
      </w:r>
      <w:r>
        <w:rPr>
          <w:rFonts w:hint="eastAsia" w:eastAsia="宋体" w:cs="Times New Roman"/>
          <w:snapToGrid/>
          <w:color w:val="000000" w:themeColor="text1"/>
          <w:kern w:val="2"/>
          <w:sz w:val="24"/>
          <w:szCs w:val="24"/>
          <w14:textFill>
            <w14:solidFill>
              <w14:schemeClr w14:val="tx1"/>
            </w14:solidFill>
          </w14:textFill>
        </w:rPr>
        <w:t>收到申请后在20个工作日内结清货款。由于</w:t>
      </w:r>
      <w:r>
        <w:rPr>
          <w:rFonts w:hint="eastAsia" w:eastAsia="宋体" w:cs="Times New Roman"/>
          <w:snapToGrid/>
          <w:color w:val="000000" w:themeColor="text1"/>
          <w:kern w:val="2"/>
          <w:sz w:val="24"/>
          <w:szCs w:val="24"/>
          <w:lang w:eastAsia="zh-CN"/>
          <w14:textFill>
            <w14:solidFill>
              <w14:schemeClr w14:val="tx1"/>
            </w14:solidFill>
          </w14:textFill>
        </w:rPr>
        <w:t>中标方</w:t>
      </w:r>
      <w:r>
        <w:rPr>
          <w:rFonts w:hint="eastAsia" w:eastAsia="宋体" w:cs="Times New Roman"/>
          <w:snapToGrid/>
          <w:color w:val="000000" w:themeColor="text1"/>
          <w:kern w:val="2"/>
          <w:sz w:val="24"/>
          <w:szCs w:val="24"/>
          <w14:textFill>
            <w14:solidFill>
              <w14:schemeClr w14:val="tx1"/>
            </w14:solidFill>
          </w14:textFill>
        </w:rPr>
        <w:t>未按约定交付货物等原因，</w:t>
      </w:r>
      <w:r>
        <w:rPr>
          <w:rFonts w:hint="eastAsia" w:eastAsia="宋体" w:cs="Times New Roman"/>
          <w:snapToGrid/>
          <w:color w:val="000000" w:themeColor="text1"/>
          <w:kern w:val="2"/>
          <w:sz w:val="24"/>
          <w:szCs w:val="24"/>
          <w:lang w:eastAsia="zh-CN"/>
          <w14:textFill>
            <w14:solidFill>
              <w14:schemeClr w14:val="tx1"/>
            </w14:solidFill>
          </w14:textFill>
        </w:rPr>
        <w:t>招标人</w:t>
      </w:r>
      <w:r>
        <w:rPr>
          <w:rFonts w:hint="eastAsia" w:eastAsia="宋体" w:cs="Times New Roman"/>
          <w:snapToGrid/>
          <w:color w:val="000000" w:themeColor="text1"/>
          <w:kern w:val="2"/>
          <w:sz w:val="24"/>
          <w:szCs w:val="24"/>
          <w14:textFill>
            <w14:solidFill>
              <w14:schemeClr w14:val="tx1"/>
            </w14:solidFill>
          </w14:textFill>
        </w:rPr>
        <w:t>有权延迟付款。</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5.</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合同期</w:t>
      </w:r>
      <w:r>
        <w:rPr>
          <w:rFonts w:hint="eastAsia" w:eastAsia="宋体" w:cs="Times New Roman"/>
          <w:snapToGrid/>
          <w:color w:val="000000" w:themeColor="text1"/>
          <w:kern w:val="2"/>
          <w:sz w:val="24"/>
          <w:szCs w:val="24"/>
          <w:lang w:eastAsia="zh-CN"/>
          <w14:textFill>
            <w14:solidFill>
              <w14:schemeClr w14:val="tx1"/>
            </w14:solidFill>
          </w14:textFill>
        </w:rPr>
        <w:t>：</w:t>
      </w:r>
      <w:r>
        <w:rPr>
          <w:rFonts w:hint="eastAsia" w:eastAsia="宋体" w:cs="Times New Roman"/>
          <w:snapToGrid/>
          <w:color w:val="000000" w:themeColor="text1"/>
          <w:kern w:val="2"/>
          <w:sz w:val="24"/>
          <w:szCs w:val="24"/>
          <w14:textFill>
            <w14:solidFill>
              <w14:schemeClr w14:val="tx1"/>
            </w14:solidFill>
          </w14:textFill>
        </w:rPr>
        <w:t>合同签订之日起一年。</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6.</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交货地点</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lang w:val="en-US" w:eastAsia="zh-CN"/>
          <w14:textFill>
            <w14:solidFill>
              <w14:schemeClr w14:val="tx1"/>
            </w14:solidFill>
          </w14:textFill>
        </w:rPr>
        <w:t>6.</w:t>
      </w:r>
      <w:r>
        <w:rPr>
          <w:rFonts w:hint="eastAsia" w:eastAsia="宋体" w:cs="Times New Roman"/>
          <w:snapToGrid/>
          <w:color w:val="000000" w:themeColor="text1"/>
          <w:kern w:val="2"/>
          <w:sz w:val="24"/>
          <w:szCs w:val="24"/>
          <w14:textFill>
            <w14:solidFill>
              <w14:schemeClr w14:val="tx1"/>
            </w14:solidFill>
          </w14:textFill>
        </w:rPr>
        <w:t>1</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14:textFill>
            <w14:solidFill>
              <w14:schemeClr w14:val="tx1"/>
            </w14:solidFill>
          </w14:textFill>
        </w:rPr>
        <w:t xml:space="preserve">深圳市宝安湾环境科技有限公司江碧环保科技创新产业园工业废水集中处理厂。 </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lang w:val="en-US" w:eastAsia="zh-CN"/>
          <w14:textFill>
            <w14:solidFill>
              <w14:schemeClr w14:val="tx1"/>
            </w14:solidFill>
          </w14:textFill>
        </w:rPr>
        <w:t>6.</w:t>
      </w:r>
      <w:r>
        <w:rPr>
          <w:rFonts w:hint="eastAsia" w:eastAsia="宋体" w:cs="Times New Roman"/>
          <w:snapToGrid/>
          <w:color w:val="000000" w:themeColor="text1"/>
          <w:kern w:val="2"/>
          <w:sz w:val="24"/>
          <w:szCs w:val="24"/>
          <w14:textFill>
            <w14:solidFill>
              <w14:schemeClr w14:val="tx1"/>
            </w14:solidFill>
          </w14:textFill>
        </w:rPr>
        <w:t>2</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14:textFill>
            <w14:solidFill>
              <w14:schemeClr w14:val="tx1"/>
            </w14:solidFill>
          </w14:textFill>
        </w:rPr>
        <w:t>根据</w:t>
      </w:r>
      <w:r>
        <w:rPr>
          <w:rFonts w:hint="eastAsia" w:eastAsia="宋体" w:cs="Times New Roman"/>
          <w:snapToGrid/>
          <w:color w:val="000000" w:themeColor="text1"/>
          <w:kern w:val="2"/>
          <w:sz w:val="24"/>
          <w:szCs w:val="24"/>
          <w:lang w:eastAsia="zh-CN"/>
          <w14:textFill>
            <w14:solidFill>
              <w14:schemeClr w14:val="tx1"/>
            </w14:solidFill>
          </w14:textFill>
        </w:rPr>
        <w:t>招标人</w:t>
      </w:r>
      <w:r>
        <w:rPr>
          <w:rFonts w:hint="eastAsia" w:eastAsia="宋体" w:cs="Times New Roman"/>
          <w:snapToGrid/>
          <w:color w:val="000000" w:themeColor="text1"/>
          <w:kern w:val="2"/>
          <w:sz w:val="24"/>
          <w:szCs w:val="24"/>
          <w14:textFill>
            <w14:solidFill>
              <w14:schemeClr w14:val="tx1"/>
            </w14:solidFill>
          </w14:textFill>
        </w:rPr>
        <w:t xml:space="preserve">指定地点。 </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14:textFill>
            <w14:solidFill>
              <w14:schemeClr w14:val="tx1"/>
            </w14:solidFill>
          </w14:textFill>
        </w:rPr>
        <w:t>7.</w:t>
      </w:r>
      <w:r>
        <w:rPr>
          <w:rFonts w:hint="eastAsia" w:eastAsia="宋体" w:cs="Times New Roman"/>
          <w:snapToGrid/>
          <w:color w:val="000000" w:themeColor="text1"/>
          <w:kern w:val="2"/>
          <w:sz w:val="24"/>
          <w:szCs w:val="24"/>
          <w14:textFill>
            <w14:solidFill>
              <w14:schemeClr w14:val="tx1"/>
            </w14:solidFill>
          </w14:textFill>
        </w:rPr>
        <w:tab/>
      </w:r>
      <w:r>
        <w:rPr>
          <w:rFonts w:hint="eastAsia" w:eastAsia="宋体" w:cs="Times New Roman"/>
          <w:snapToGrid/>
          <w:color w:val="000000" w:themeColor="text1"/>
          <w:kern w:val="2"/>
          <w:sz w:val="24"/>
          <w:szCs w:val="24"/>
          <w14:textFill>
            <w14:solidFill>
              <w14:schemeClr w14:val="tx1"/>
            </w14:solidFill>
          </w14:textFill>
        </w:rPr>
        <w:t>其他约定</w:t>
      </w:r>
      <w:r>
        <w:rPr>
          <w:rFonts w:hint="eastAsia" w:eastAsia="宋体" w:cs="Times New Roman"/>
          <w:snapToGrid/>
          <w:color w:val="000000" w:themeColor="text1"/>
          <w:kern w:val="2"/>
          <w:sz w:val="24"/>
          <w:szCs w:val="24"/>
          <w14:textFill>
            <w14:solidFill>
              <w14:schemeClr w14:val="tx1"/>
            </w14:solidFill>
          </w14:textFill>
        </w:rPr>
        <w:tab/>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lang w:val="en-US" w:eastAsia="zh-CN"/>
          <w14:textFill>
            <w14:solidFill>
              <w14:schemeClr w14:val="tx1"/>
            </w14:solidFill>
          </w14:textFill>
        </w:rPr>
        <w:t>7.</w:t>
      </w:r>
      <w:r>
        <w:rPr>
          <w:rFonts w:hint="eastAsia" w:eastAsia="宋体" w:cs="Times New Roman"/>
          <w:snapToGrid/>
          <w:color w:val="000000" w:themeColor="text1"/>
          <w:kern w:val="2"/>
          <w:sz w:val="24"/>
          <w:szCs w:val="24"/>
          <w14:textFill>
            <w14:solidFill>
              <w14:schemeClr w14:val="tx1"/>
            </w14:solidFill>
          </w14:textFill>
        </w:rPr>
        <w:t>1</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14:textFill>
            <w14:solidFill>
              <w14:schemeClr w14:val="tx1"/>
            </w14:solidFill>
          </w14:textFill>
        </w:rPr>
        <w:t xml:space="preserve">每批次货物都需提供该批次产品验收合格证明文件。 </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lang w:val="en-US" w:eastAsia="zh-CN"/>
          <w14:textFill>
            <w14:solidFill>
              <w14:schemeClr w14:val="tx1"/>
            </w14:solidFill>
          </w14:textFill>
        </w:rPr>
        <w:t>7.</w:t>
      </w:r>
      <w:r>
        <w:rPr>
          <w:rFonts w:hint="eastAsia" w:eastAsia="宋体" w:cs="Times New Roman"/>
          <w:snapToGrid/>
          <w:color w:val="000000" w:themeColor="text1"/>
          <w:kern w:val="2"/>
          <w:sz w:val="24"/>
          <w:szCs w:val="24"/>
          <w14:textFill>
            <w14:solidFill>
              <w14:schemeClr w14:val="tx1"/>
            </w14:solidFill>
          </w14:textFill>
        </w:rPr>
        <w:t>2</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lang w:eastAsia="zh-CN"/>
          <w14:textFill>
            <w14:solidFill>
              <w14:schemeClr w14:val="tx1"/>
            </w14:solidFill>
          </w14:textFill>
        </w:rPr>
        <w:t>中标方</w:t>
      </w:r>
      <w:r>
        <w:rPr>
          <w:rFonts w:hint="eastAsia" w:eastAsia="宋体" w:cs="Times New Roman"/>
          <w:snapToGrid/>
          <w:color w:val="000000" w:themeColor="text1"/>
          <w:kern w:val="2"/>
          <w:sz w:val="24"/>
          <w:szCs w:val="24"/>
          <w14:textFill>
            <w14:solidFill>
              <w14:schemeClr w14:val="tx1"/>
            </w14:solidFill>
          </w14:textFill>
        </w:rPr>
        <w:t>确保货品安全无损完整地（包括但不仅限于防湿、防锈、防潮、防雨、防腐及防碰撞等）运抵</w:t>
      </w:r>
      <w:r>
        <w:rPr>
          <w:rFonts w:hint="eastAsia" w:eastAsia="宋体" w:cs="Times New Roman"/>
          <w:snapToGrid/>
          <w:color w:val="000000" w:themeColor="text1"/>
          <w:kern w:val="2"/>
          <w:sz w:val="24"/>
          <w:szCs w:val="24"/>
          <w:lang w:eastAsia="zh-CN"/>
          <w14:textFill>
            <w14:solidFill>
              <w14:schemeClr w14:val="tx1"/>
            </w14:solidFill>
          </w14:textFill>
        </w:rPr>
        <w:t>招标人</w:t>
      </w:r>
      <w:r>
        <w:rPr>
          <w:rFonts w:hint="eastAsia" w:eastAsia="宋体" w:cs="Times New Roman"/>
          <w:snapToGrid/>
          <w:color w:val="000000" w:themeColor="text1"/>
          <w:kern w:val="2"/>
          <w:sz w:val="24"/>
          <w:szCs w:val="24"/>
          <w14:textFill>
            <w14:solidFill>
              <w14:schemeClr w14:val="tx1"/>
            </w14:solidFill>
          </w14:textFill>
        </w:rPr>
        <w:t>指定现场，凡由于包装不良造成的损失及由此产生的费用均由</w:t>
      </w:r>
      <w:r>
        <w:rPr>
          <w:rFonts w:hint="eastAsia" w:eastAsia="宋体" w:cs="Times New Roman"/>
          <w:snapToGrid/>
          <w:color w:val="000000" w:themeColor="text1"/>
          <w:kern w:val="2"/>
          <w:sz w:val="24"/>
          <w:szCs w:val="24"/>
          <w:lang w:eastAsia="zh-CN"/>
          <w14:textFill>
            <w14:solidFill>
              <w14:schemeClr w14:val="tx1"/>
            </w14:solidFill>
          </w14:textFill>
        </w:rPr>
        <w:t>中标方</w:t>
      </w:r>
      <w:r>
        <w:rPr>
          <w:rFonts w:hint="eastAsia" w:eastAsia="宋体" w:cs="Times New Roman"/>
          <w:snapToGrid/>
          <w:color w:val="000000" w:themeColor="text1"/>
          <w:kern w:val="2"/>
          <w:sz w:val="24"/>
          <w:szCs w:val="24"/>
          <w14:textFill>
            <w14:solidFill>
              <w14:schemeClr w14:val="tx1"/>
            </w14:solidFill>
          </w14:textFill>
        </w:rPr>
        <w:t xml:space="preserve">承担。 </w:t>
      </w:r>
    </w:p>
    <w:p>
      <w:pPr>
        <w:spacing w:line="360" w:lineRule="auto"/>
        <w:ind w:firstLine="480" w:firstLineChars="200"/>
        <w:rPr>
          <w:rFonts w:hint="eastAsia" w:eastAsia="宋体" w:cs="Times New Roman"/>
          <w:snapToGrid/>
          <w:color w:val="000000" w:themeColor="text1"/>
          <w:kern w:val="2"/>
          <w:sz w:val="24"/>
          <w:szCs w:val="24"/>
          <w14:textFill>
            <w14:solidFill>
              <w14:schemeClr w14:val="tx1"/>
            </w14:solidFill>
          </w14:textFill>
        </w:rPr>
      </w:pPr>
      <w:r>
        <w:rPr>
          <w:rFonts w:hint="eastAsia" w:eastAsia="宋体" w:cs="Times New Roman"/>
          <w:snapToGrid/>
          <w:color w:val="000000" w:themeColor="text1"/>
          <w:kern w:val="2"/>
          <w:sz w:val="24"/>
          <w:szCs w:val="24"/>
          <w:lang w:val="en-US" w:eastAsia="zh-CN"/>
          <w14:textFill>
            <w14:solidFill>
              <w14:schemeClr w14:val="tx1"/>
            </w14:solidFill>
          </w14:textFill>
        </w:rPr>
        <w:t>7.</w:t>
      </w:r>
      <w:r>
        <w:rPr>
          <w:rFonts w:hint="eastAsia" w:eastAsia="宋体" w:cs="Times New Roman"/>
          <w:snapToGrid/>
          <w:color w:val="000000" w:themeColor="text1"/>
          <w:kern w:val="2"/>
          <w:sz w:val="24"/>
          <w:szCs w:val="24"/>
          <w14:textFill>
            <w14:solidFill>
              <w14:schemeClr w14:val="tx1"/>
            </w14:solidFill>
          </w14:textFill>
        </w:rPr>
        <w:t>3</w:t>
      </w:r>
      <w:r>
        <w:rPr>
          <w:rFonts w:hint="eastAsia" w:eastAsia="宋体" w:cs="Times New Roman"/>
          <w:snapToGrid/>
          <w:color w:val="000000" w:themeColor="text1"/>
          <w:kern w:val="2"/>
          <w:sz w:val="24"/>
          <w:szCs w:val="24"/>
          <w:lang w:val="en-US" w:eastAsia="zh-CN"/>
          <w14:textFill>
            <w14:solidFill>
              <w14:schemeClr w14:val="tx1"/>
            </w14:solidFill>
          </w14:textFill>
        </w:rPr>
        <w:t xml:space="preserve"> </w:t>
      </w:r>
      <w:r>
        <w:rPr>
          <w:rFonts w:hint="eastAsia" w:eastAsia="宋体" w:cs="Times New Roman"/>
          <w:snapToGrid/>
          <w:color w:val="000000" w:themeColor="text1"/>
          <w:kern w:val="2"/>
          <w:sz w:val="24"/>
          <w:szCs w:val="24"/>
          <w:lang w:eastAsia="zh-CN"/>
          <w14:textFill>
            <w14:solidFill>
              <w14:schemeClr w14:val="tx1"/>
            </w14:solidFill>
          </w14:textFill>
        </w:rPr>
        <w:t>中标方</w:t>
      </w:r>
      <w:r>
        <w:rPr>
          <w:rFonts w:hint="eastAsia" w:eastAsia="宋体" w:cs="Times New Roman"/>
          <w:snapToGrid/>
          <w:color w:val="000000" w:themeColor="text1"/>
          <w:kern w:val="2"/>
          <w:sz w:val="24"/>
          <w:szCs w:val="24"/>
          <w14:textFill>
            <w14:solidFill>
              <w14:schemeClr w14:val="tx1"/>
            </w14:solidFill>
          </w14:textFill>
        </w:rPr>
        <w:t>如没能及时送货，导致产生的相关仓储费、押车费、停车费等所有费用问题均由</w:t>
      </w:r>
      <w:r>
        <w:rPr>
          <w:rFonts w:hint="eastAsia" w:eastAsia="宋体" w:cs="Times New Roman"/>
          <w:snapToGrid/>
          <w:color w:val="000000" w:themeColor="text1"/>
          <w:kern w:val="2"/>
          <w:sz w:val="24"/>
          <w:szCs w:val="24"/>
          <w:lang w:eastAsia="zh-CN"/>
          <w14:textFill>
            <w14:solidFill>
              <w14:schemeClr w14:val="tx1"/>
            </w14:solidFill>
          </w14:textFill>
        </w:rPr>
        <w:t>中标方</w:t>
      </w:r>
      <w:r>
        <w:rPr>
          <w:rFonts w:hint="eastAsia" w:eastAsia="宋体" w:cs="Times New Roman"/>
          <w:snapToGrid/>
          <w:color w:val="000000" w:themeColor="text1"/>
          <w:kern w:val="2"/>
          <w:sz w:val="24"/>
          <w:szCs w:val="24"/>
          <w14:textFill>
            <w14:solidFill>
              <w14:schemeClr w14:val="tx1"/>
            </w14:solidFill>
          </w14:textFill>
        </w:rPr>
        <w:t xml:space="preserve">自行承担。 </w:t>
      </w:r>
    </w:p>
    <w:p>
      <w:pPr>
        <w:topLinePunct/>
        <w:spacing w:line="440" w:lineRule="exact"/>
        <w:jc w:val="center"/>
        <w:rPr>
          <w:rFonts w:ascii="Times New Roman" w:hAnsi="Times New Roman"/>
        </w:rPr>
      </w:pPr>
    </w:p>
    <w:p>
      <w:pPr>
        <w:spacing w:line="400" w:lineRule="exact"/>
        <w:jc w:val="center"/>
        <w:rPr>
          <w:rFonts w:ascii="Times New Roman" w:hAnsi="Times New Roman"/>
        </w:rPr>
      </w:pPr>
      <w:r>
        <w:rPr>
          <w:rFonts w:ascii="Times New Roman" w:hAnsi="Times New Roman"/>
        </w:rPr>
        <w:br w:type="page"/>
      </w:r>
    </w:p>
    <w:bookmarkEnd w:id="441"/>
    <w:bookmarkEnd w:id="442"/>
    <w:bookmarkEnd w:id="443"/>
    <w:bookmarkEnd w:id="444"/>
    <w:p/>
    <w:p>
      <w:pPr>
        <w:pStyle w:val="3"/>
      </w:pPr>
      <w:bookmarkStart w:id="459" w:name="_Toc56857079"/>
      <w:bookmarkStart w:id="460" w:name="_Toc56856957"/>
      <w:r>
        <w:t>第</w:t>
      </w:r>
      <w:r>
        <w:rPr>
          <w:rFonts w:hint="eastAsia"/>
        </w:rPr>
        <w:t>三</w:t>
      </w:r>
      <w:r>
        <w:t>卷</w:t>
      </w:r>
      <w:bookmarkEnd w:id="459"/>
      <w:bookmarkEnd w:id="460"/>
    </w:p>
    <w:p>
      <w:pPr>
        <w:spacing w:line="400" w:lineRule="exact"/>
        <w:jc w:val="center"/>
        <w:rPr>
          <w:rFonts w:ascii="Times New Roman" w:hAnsi="Times New Roman"/>
        </w:rPr>
      </w:pPr>
    </w:p>
    <w:p>
      <w:pPr>
        <w:pStyle w:val="3"/>
      </w:pPr>
      <w:bookmarkStart w:id="461" w:name="_Toc56856958"/>
      <w:bookmarkStart w:id="462" w:name="_Toc56857080"/>
      <w:r>
        <w:rPr>
          <w:rFonts w:hint="eastAsia"/>
        </w:rPr>
        <w:t>第六章</w:t>
      </w:r>
      <w:r>
        <w:rPr>
          <w:rFonts w:hint="eastAsia"/>
          <w:lang w:val="en-US" w:eastAsia="zh-CN"/>
        </w:rPr>
        <w:t xml:space="preserve"> </w:t>
      </w:r>
      <w:r>
        <w:rPr>
          <w:rFonts w:hint="eastAsia"/>
        </w:rPr>
        <w:t>投标文件格式</w:t>
      </w:r>
      <w:bookmarkEnd w:id="461"/>
      <w:bookmarkEnd w:id="462"/>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spacing w:line="400" w:lineRule="exact"/>
        <w:rPr>
          <w:rFonts w:ascii="Times New Roman" w:hAnsi="Times New Roman"/>
        </w:rPr>
      </w:pPr>
    </w:p>
    <w:p>
      <w:pPr>
        <w:spacing w:line="480" w:lineRule="auto"/>
        <w:rPr>
          <w:rFonts w:ascii="Times New Roman" w:hAnsi="Times New Roman" w:eastAsia="黑体"/>
          <w:sz w:val="20"/>
        </w:rPr>
      </w:pPr>
    </w:p>
    <w:p>
      <w:pPr>
        <w:spacing w:line="480" w:lineRule="auto"/>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w:t>
      </w:r>
    </w:p>
    <w:p>
      <w:pPr>
        <w:spacing w:line="480" w:lineRule="auto"/>
        <w:rPr>
          <w:rFonts w:ascii="Times New Roman" w:hAnsi="Times New Roman" w:eastAsia="黑体"/>
          <w:sz w:val="20"/>
        </w:rPr>
      </w:pPr>
    </w:p>
    <w:p>
      <w:pPr>
        <w:spacing w:line="480" w:lineRule="auto"/>
        <w:rPr>
          <w:rFonts w:ascii="Times New Roman" w:hAnsi="Times New Roman" w:eastAsia="黑体"/>
          <w:sz w:val="20"/>
        </w:rPr>
      </w:pPr>
    </w:p>
    <w:p>
      <w:pPr>
        <w:spacing w:line="480" w:lineRule="auto"/>
        <w:jc w:val="center"/>
        <w:rPr>
          <w:rFonts w:ascii="Times New Roman" w:hAnsi="Times New Roman" w:eastAsia="黑体"/>
          <w:sz w:val="44"/>
        </w:rPr>
      </w:pPr>
      <w:r>
        <w:rPr>
          <w:rFonts w:ascii="Times New Roman" w:hAnsi="Times New Roman" w:eastAsia="黑体"/>
          <w:sz w:val="44"/>
        </w:rPr>
        <w:t>投 标 文 件</w:t>
      </w: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ind w:firstLine="1120" w:firstLineChars="40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r>
        <w:rPr>
          <w:rFonts w:ascii="Times New Roman" w:hAnsi="Times New Roman" w:eastAsia="黑体"/>
          <w:sz w:val="28"/>
        </w:rPr>
        <w:t>（盖单位章）</w:t>
      </w:r>
    </w:p>
    <w:p>
      <w:pPr>
        <w:spacing w:line="360" w:lineRule="auto"/>
        <w:ind w:firstLine="1120" w:firstLineChars="400"/>
        <w:jc w:val="left"/>
        <w:rPr>
          <w:rFonts w:ascii="Times New Roman" w:hAnsi="Times New Roman" w:eastAsia="黑体"/>
          <w:sz w:val="28"/>
        </w:rPr>
      </w:pPr>
      <w:r>
        <w:rPr>
          <w:rFonts w:ascii="Times New Roman" w:hAnsi="Times New Roman" w:eastAsia="黑体"/>
          <w:sz w:val="28"/>
        </w:rPr>
        <w:t>法定代表人或其委托代理人：</w:t>
      </w:r>
      <w:r>
        <w:rPr>
          <w:rFonts w:ascii="Times New Roman" w:hAnsi="Times New Roman"/>
          <w:u w:val="single"/>
        </w:rPr>
        <w:t xml:space="preserve">       </w:t>
      </w:r>
      <w:r>
        <w:rPr>
          <w:rFonts w:ascii="Times New Roman" w:hAnsi="Times New Roman" w:eastAsia="黑体"/>
          <w:sz w:val="28"/>
        </w:rPr>
        <w:t>（签字）</w:t>
      </w:r>
    </w:p>
    <w:p>
      <w:pPr>
        <w:jc w:val="center"/>
        <w:rPr>
          <w:rFonts w:ascii="Times New Roman" w:hAnsi="Times New Roman" w:eastAsia="黑体"/>
          <w:sz w:val="28"/>
        </w:rPr>
      </w:pPr>
    </w:p>
    <w:p>
      <w:pPr>
        <w:spacing w:line="400" w:lineRule="exact"/>
        <w:jc w:val="center"/>
        <w:rPr>
          <w:rFonts w:ascii="Times New Roman" w:hAnsi="Times New Roman" w:eastAsia="黑体"/>
          <w:sz w:val="28"/>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p>
    <w:p>
      <w:pPr>
        <w:spacing w:line="400" w:lineRule="exact"/>
        <w:jc w:val="center"/>
        <w:rPr>
          <w:rFonts w:ascii="Times New Roman" w:hAnsi="Times New Roman" w:eastAsia="黑体"/>
          <w:sz w:val="28"/>
        </w:rPr>
      </w:pPr>
    </w:p>
    <w:p>
      <w:pPr>
        <w:spacing w:line="400" w:lineRule="exact"/>
        <w:jc w:val="center"/>
        <w:rPr>
          <w:rFonts w:ascii="Times New Roman" w:hAnsi="Times New Roman"/>
        </w:rPr>
      </w:pPr>
      <w:r>
        <w:rPr>
          <w:rFonts w:ascii="Times New Roman" w:hAnsi="Times New Roman"/>
        </w:rPr>
        <w:br w:type="page"/>
      </w:r>
    </w:p>
    <w:p>
      <w:pPr>
        <w:pStyle w:val="7"/>
        <w:jc w:val="center"/>
        <w:rPr>
          <w:rFonts w:ascii="Times New Roman" w:hAnsi="Times New Roman"/>
        </w:rPr>
      </w:pPr>
      <w:bookmarkStart w:id="463" w:name="_Toc56856959"/>
      <w:r>
        <w:rPr>
          <w:rFonts w:hint="eastAsia" w:ascii="Times New Roman" w:hAnsi="Times New Roman"/>
        </w:rPr>
        <w:t>目录</w:t>
      </w:r>
      <w:bookmarkEnd w:id="463"/>
    </w:p>
    <w:p>
      <w:pPr>
        <w:spacing w:line="540" w:lineRule="exact"/>
        <w:rPr>
          <w:rFonts w:ascii="Times New Roman" w:hAnsi="Times New Roman"/>
        </w:rPr>
      </w:pPr>
    </w:p>
    <w:p>
      <w:pPr>
        <w:spacing w:line="540" w:lineRule="exact"/>
        <w:rPr>
          <w:rFonts w:ascii="Times New Roman" w:hAnsi="Times New Roman"/>
        </w:rPr>
      </w:pPr>
      <w:r>
        <w:rPr>
          <w:rFonts w:ascii="Times New Roman" w:hAnsi="Times New Roman"/>
        </w:rPr>
        <w:t>一、投标函及投标函附录</w:t>
      </w:r>
    </w:p>
    <w:p>
      <w:pPr>
        <w:spacing w:line="540" w:lineRule="exact"/>
        <w:rPr>
          <w:rFonts w:ascii="Times New Roman" w:hAnsi="Times New Roman"/>
        </w:rPr>
      </w:pPr>
      <w:r>
        <w:rPr>
          <w:rFonts w:ascii="Times New Roman" w:hAnsi="Times New Roman"/>
        </w:rPr>
        <w:t>二、法定代表人身份证明（适用于无委托代理人的情况）</w:t>
      </w:r>
    </w:p>
    <w:p>
      <w:pPr>
        <w:spacing w:line="540" w:lineRule="exact"/>
        <w:rPr>
          <w:rFonts w:ascii="Times New Roman" w:hAnsi="Times New Roman"/>
        </w:rPr>
      </w:pPr>
      <w:r>
        <w:rPr>
          <w:rFonts w:hint="eastAsia" w:ascii="Times New Roman" w:hAnsi="Times New Roman"/>
        </w:rPr>
        <w:t>三</w:t>
      </w:r>
      <w:r>
        <w:rPr>
          <w:rFonts w:ascii="Times New Roman" w:hAnsi="Times New Roman"/>
        </w:rPr>
        <w:t>、授权委托书（适用于有委托代理人的情况）</w:t>
      </w:r>
    </w:p>
    <w:p>
      <w:pPr>
        <w:spacing w:line="540" w:lineRule="exact"/>
        <w:rPr>
          <w:rFonts w:ascii="Times New Roman" w:hAnsi="Times New Roman"/>
        </w:rPr>
      </w:pPr>
      <w:r>
        <w:rPr>
          <w:rFonts w:hint="eastAsia" w:ascii="Times New Roman" w:hAnsi="Times New Roman"/>
        </w:rPr>
        <w:t>四</w:t>
      </w:r>
      <w:r>
        <w:rPr>
          <w:rFonts w:ascii="Times New Roman" w:hAnsi="Times New Roman"/>
        </w:rPr>
        <w:t>、</w:t>
      </w:r>
      <w:r>
        <w:rPr>
          <w:rFonts w:hint="eastAsia" w:ascii="Times New Roman" w:hAnsi="Times New Roman"/>
        </w:rPr>
        <w:t>投标报价表</w:t>
      </w:r>
    </w:p>
    <w:p>
      <w:pPr>
        <w:spacing w:line="540" w:lineRule="exact"/>
        <w:rPr>
          <w:rFonts w:ascii="Times New Roman" w:hAnsi="Times New Roman"/>
        </w:rPr>
      </w:pPr>
      <w:r>
        <w:rPr>
          <w:rFonts w:hint="eastAsia" w:ascii="Times New Roman" w:hAnsi="Times New Roman"/>
        </w:rPr>
        <w:t>五</w:t>
      </w:r>
      <w:r>
        <w:rPr>
          <w:rFonts w:ascii="Times New Roman" w:hAnsi="Times New Roman"/>
        </w:rPr>
        <w:t>、资格审查资料</w:t>
      </w:r>
    </w:p>
    <w:p>
      <w:pPr>
        <w:spacing w:line="540" w:lineRule="exact"/>
        <w:rPr>
          <w:rFonts w:ascii="Times New Roman" w:hAnsi="Times New Roman"/>
        </w:rPr>
      </w:pPr>
      <w:bookmarkStart w:id="464" w:name="_Toc7039"/>
      <w:bookmarkStart w:id="465" w:name="_Toc369531691"/>
      <w:bookmarkStart w:id="466" w:name="_Toc352691655"/>
      <w:r>
        <w:rPr>
          <w:rFonts w:hint="eastAsia" w:ascii="Times New Roman" w:hAnsi="Times New Roman"/>
        </w:rPr>
        <w:t>……</w:t>
      </w:r>
    </w:p>
    <w:p>
      <w:pPr>
        <w:spacing w:line="540" w:lineRule="exact"/>
        <w:rPr>
          <w:rFonts w:ascii="Times New Roman" w:hAnsi="Times New Roman" w:eastAsia="黑体"/>
          <w:sz w:val="20"/>
        </w:rPr>
      </w:pPr>
      <w:r>
        <w:rPr>
          <w:rFonts w:ascii="Times New Roman" w:hAnsi="Times New Roman"/>
        </w:rPr>
        <w:br w:type="page"/>
      </w:r>
    </w:p>
    <w:bookmarkEnd w:id="464"/>
    <w:bookmarkEnd w:id="465"/>
    <w:bookmarkEnd w:id="466"/>
    <w:p>
      <w:pPr>
        <w:pStyle w:val="7"/>
        <w:spacing w:line="360" w:lineRule="auto"/>
        <w:jc w:val="center"/>
      </w:pPr>
      <w:bookmarkStart w:id="467" w:name="_Toc56856960"/>
      <w:bookmarkStart w:id="468" w:name="_Toc6218769"/>
      <w:bookmarkStart w:id="469" w:name="_Toc6218666"/>
      <w:bookmarkStart w:id="470" w:name="_Toc512012360"/>
      <w:r>
        <w:rPr>
          <w:rFonts w:hint="eastAsia"/>
        </w:rPr>
        <w:t>评标办法响应情况索引</w:t>
      </w:r>
      <w:bookmarkEnd w:id="467"/>
      <w:bookmarkEnd w:id="468"/>
      <w:bookmarkEnd w:id="469"/>
      <w:bookmarkEnd w:id="470"/>
    </w:p>
    <w:p>
      <w:pPr>
        <w:rPr>
          <w:rFonts w:ascii="ˎ̥" w:hAnsi="ˎ̥" w:cs="宋体"/>
          <w:kern w:val="0"/>
          <w:sz w:val="24"/>
          <w:szCs w:val="18"/>
        </w:rPr>
      </w:pPr>
    </w:p>
    <w:p>
      <w:pPr>
        <w:rPr>
          <w:rFonts w:hAnsi="宋体"/>
          <w:b/>
        </w:rPr>
      </w:pPr>
      <w:r>
        <w:rPr>
          <w:rFonts w:hint="eastAsia" w:hAnsi="宋体"/>
          <w:b/>
        </w:rPr>
        <w:t>请投标人按评标办法各评审表格的格式填写下述表格，注明对各评审项目响应情况所在的投标文件页码：</w:t>
      </w:r>
    </w:p>
    <w:p>
      <w:pPr>
        <w:rPr>
          <w:rFonts w:hAnsi="宋体"/>
          <w:b/>
        </w:rPr>
      </w:pPr>
      <w:r>
        <w:rPr>
          <w:rFonts w:hint="eastAsia" w:hAnsi="宋体"/>
          <w:b/>
        </w:rPr>
        <w:t>注：下面提供的表格仅供投标人参考，具体评审内容，请以评标办法所附的各表格为准。</w:t>
      </w:r>
    </w:p>
    <w:p>
      <w:pPr>
        <w:jc w:val="center"/>
        <w:rPr>
          <w:rFonts w:hAnsi="宋体"/>
          <w:bCs/>
        </w:rPr>
      </w:pPr>
    </w:p>
    <w:p>
      <w:pPr>
        <w:rPr>
          <w:rFonts w:hAnsi="宋体"/>
          <w:bCs/>
        </w:rPr>
      </w:pPr>
      <w:r>
        <w:rPr>
          <w:rFonts w:hint="eastAsia" w:hAnsi="宋体"/>
          <w:bCs/>
        </w:rPr>
        <w:t>附表一：初步评审索引</w:t>
      </w:r>
    </w:p>
    <w:tbl>
      <w:tblPr>
        <w:tblStyle w:val="4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579"/>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序号</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评审因素</w:t>
            </w: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1</w:t>
            </w:r>
          </w:p>
        </w:tc>
        <w:tc>
          <w:tcPr>
            <w:tcW w:w="557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2</w:t>
            </w:r>
          </w:p>
        </w:tc>
        <w:tc>
          <w:tcPr>
            <w:tcW w:w="557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3</w:t>
            </w:r>
          </w:p>
        </w:tc>
        <w:tc>
          <w:tcPr>
            <w:tcW w:w="557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w:t>
            </w:r>
          </w:p>
        </w:tc>
        <w:tc>
          <w:tcPr>
            <w:tcW w:w="557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bl>
    <w:p>
      <w:pPr>
        <w:rPr>
          <w:rFonts w:hAnsi="宋体"/>
          <w:bCs/>
        </w:rPr>
      </w:pPr>
    </w:p>
    <w:p>
      <w:pPr>
        <w:rPr>
          <w:rFonts w:hAnsi="宋体"/>
          <w:bCs/>
        </w:rPr>
      </w:pPr>
      <w:r>
        <w:rPr>
          <w:rFonts w:hint="eastAsia" w:hAnsi="宋体"/>
          <w:bCs/>
        </w:rPr>
        <w:t>附表二：技术部分详细评审索引</w:t>
      </w:r>
    </w:p>
    <w:tbl>
      <w:tblPr>
        <w:tblStyle w:val="4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579"/>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序号</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评审内容</w:t>
            </w: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1</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2</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3</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bl>
    <w:p/>
    <w:p>
      <w:pPr>
        <w:rPr>
          <w:rFonts w:hAnsi="宋体"/>
          <w:bCs/>
        </w:rPr>
      </w:pPr>
      <w:r>
        <w:rPr>
          <w:rFonts w:hint="eastAsia" w:hAnsi="宋体"/>
          <w:bCs/>
        </w:rPr>
        <w:t>附表三：商务部分详细评审索引</w:t>
      </w:r>
    </w:p>
    <w:tbl>
      <w:tblPr>
        <w:tblStyle w:val="4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579"/>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序号</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评审内容</w:t>
            </w: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投标人响应情况（所在投标文件页码）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1</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2</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r>
              <w:rPr>
                <w:rFonts w:hint="eastAsia" w:hAnsi="宋体"/>
              </w:rPr>
              <w:t>3</w:t>
            </w:r>
          </w:p>
        </w:tc>
        <w:tc>
          <w:tcPr>
            <w:tcW w:w="5579"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c>
          <w:tcPr>
            <w:tcW w:w="2784" w:type="dxa"/>
            <w:tcBorders>
              <w:top w:val="single" w:color="auto" w:sz="4" w:space="0"/>
              <w:left w:val="single" w:color="auto" w:sz="4" w:space="0"/>
              <w:bottom w:val="single" w:color="auto" w:sz="4" w:space="0"/>
              <w:right w:val="single" w:color="auto" w:sz="4" w:space="0"/>
            </w:tcBorders>
            <w:vAlign w:val="center"/>
          </w:tcPr>
          <w:p>
            <w:pPr>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tcPr>
          <w:p>
            <w:pPr>
              <w:jc w:val="center"/>
              <w:rPr>
                <w:rFonts w:hAnsi="宋体"/>
              </w:rPr>
            </w:pPr>
            <w:r>
              <w:rPr>
                <w:rFonts w:hint="eastAsia" w:hAnsi="宋体"/>
              </w:rPr>
              <w:t>...</w:t>
            </w:r>
          </w:p>
        </w:tc>
        <w:tc>
          <w:tcPr>
            <w:tcW w:w="5579" w:type="dxa"/>
            <w:vAlign w:val="center"/>
          </w:tcPr>
          <w:p>
            <w:pPr>
              <w:jc w:val="center"/>
              <w:rPr>
                <w:rFonts w:hAnsi="宋体"/>
              </w:rPr>
            </w:pPr>
          </w:p>
        </w:tc>
        <w:tc>
          <w:tcPr>
            <w:tcW w:w="2784" w:type="dxa"/>
          </w:tcPr>
          <w:p>
            <w:pPr>
              <w:jc w:val="center"/>
              <w:rPr>
                <w:rFonts w:hAnsi="宋体"/>
              </w:rPr>
            </w:pPr>
          </w:p>
        </w:tc>
      </w:tr>
    </w:tbl>
    <w:p/>
    <w:p/>
    <w:p/>
    <w:p>
      <w:r>
        <w:rPr>
          <w:rFonts w:hint="eastAsia"/>
        </w:rPr>
        <w:t>注：</w:t>
      </w:r>
      <w:r>
        <w:t>1.</w:t>
      </w:r>
      <w:r>
        <w:rPr>
          <w:rFonts w:hint="eastAsia"/>
        </w:rPr>
        <w:t>为便于评审，投标文件编制过程中，除编制相对应的目录外，还需编制评标索引。按上表展开。</w:t>
      </w:r>
    </w:p>
    <w:p>
      <w:pPr>
        <w:ind w:firstLine="420" w:firstLineChars="200"/>
      </w:pPr>
      <w:r>
        <w:t>2.</w:t>
      </w:r>
      <w:r>
        <w:rPr>
          <w:rFonts w:hint="eastAsia"/>
        </w:rPr>
        <w:t>投标人编制的索引表应包括与评标办法附表相对应的索引表。</w:t>
      </w:r>
    </w:p>
    <w:p>
      <w:pPr>
        <w:ind w:firstLine="420" w:firstLineChars="200"/>
      </w:pPr>
      <w:r>
        <w:t>3.</w:t>
      </w:r>
      <w:r>
        <w:rPr>
          <w:rFonts w:hint="eastAsia"/>
        </w:rPr>
        <w:t>索引列于投标文件首页，随后再放置目录。</w:t>
      </w:r>
    </w:p>
    <w:p>
      <w:pPr>
        <w:ind w:firstLine="422" w:firstLineChars="200"/>
      </w:pPr>
      <w:r>
        <w:rPr>
          <w:b/>
        </w:rPr>
        <w:t>4.</w:t>
      </w:r>
      <w:r>
        <w:rPr>
          <w:rFonts w:hint="eastAsia"/>
          <w:b/>
        </w:rPr>
        <w:t>投标人未提供本索引表的，评标过程中不能找到相应评审内容的，由此造成的后果由投标人承担。</w:t>
      </w:r>
    </w:p>
    <w:p>
      <w:pPr>
        <w:pStyle w:val="7"/>
        <w:jc w:val="center"/>
        <w:rPr>
          <w:rFonts w:ascii="Times New Roman" w:hAnsi="Times New Roman"/>
        </w:rPr>
      </w:pPr>
      <w:bookmarkStart w:id="471" w:name="_Toc56856961"/>
      <w:r>
        <w:rPr>
          <w:rFonts w:ascii="Times New Roman" w:hAnsi="Times New Roman"/>
        </w:rPr>
        <w:t>一、投标</w:t>
      </w:r>
      <w:bookmarkStart w:id="472" w:name="_Toc352691656"/>
      <w:bookmarkStart w:id="473" w:name="_Toc6931"/>
      <w:bookmarkStart w:id="474" w:name="_Toc369531692"/>
      <w:r>
        <w:rPr>
          <w:rFonts w:ascii="Times New Roman" w:hAnsi="Times New Roman"/>
        </w:rPr>
        <w:t>函及投标函附录</w:t>
      </w:r>
      <w:bookmarkEnd w:id="471"/>
    </w:p>
    <w:bookmarkEnd w:id="472"/>
    <w:bookmarkEnd w:id="473"/>
    <w:bookmarkEnd w:id="474"/>
    <w:p>
      <w:pPr>
        <w:pStyle w:val="8"/>
        <w:ind w:firstLine="137"/>
        <w:rPr>
          <w:rFonts w:ascii="Times New Roman" w:hAnsi="Times New Roman"/>
        </w:rPr>
      </w:pPr>
      <w:bookmarkStart w:id="475" w:name="_Toc370676426"/>
      <w:bookmarkStart w:id="476" w:name="_Toc482188651"/>
      <w:bookmarkStart w:id="477" w:name="_Toc385943065"/>
      <w:bookmarkStart w:id="478" w:name="_Toc359594235"/>
      <w:bookmarkStart w:id="479" w:name="_Toc391394111"/>
      <w:bookmarkStart w:id="480" w:name="_Toc56856962"/>
      <w:r>
        <w:rPr>
          <w:rFonts w:hint="eastAsia" w:ascii="Times New Roman" w:hAnsi="Times New Roman"/>
        </w:rPr>
        <w:t>（一）投标函</w:t>
      </w:r>
      <w:bookmarkEnd w:id="475"/>
      <w:bookmarkEnd w:id="476"/>
      <w:bookmarkEnd w:id="477"/>
      <w:bookmarkEnd w:id="478"/>
      <w:bookmarkEnd w:id="479"/>
      <w:bookmarkEnd w:id="480"/>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（招标人名称）：</w:t>
      </w:r>
    </w:p>
    <w:p>
      <w:pPr>
        <w:spacing w:line="440" w:lineRule="exact"/>
        <w:ind w:firstLine="405"/>
        <w:rPr>
          <w:rFonts w:ascii="Times New Roman" w:hAnsi="Times New Roman"/>
          <w:szCs w:val="21"/>
        </w:rPr>
      </w:pPr>
      <w:r>
        <w:rPr>
          <w:rFonts w:ascii="Times New Roman" w:hAnsi="Times New Roman"/>
          <w:szCs w:val="21"/>
        </w:rPr>
        <w:t>1．我方已仔细研究了</w:t>
      </w:r>
      <w:r>
        <w:rPr>
          <w:rFonts w:ascii="Times New Roman" w:hAnsi="Times New Roman"/>
          <w:szCs w:val="21"/>
          <w:u w:val="single"/>
        </w:rPr>
        <w:t xml:space="preserve">                  </w:t>
      </w:r>
      <w:r>
        <w:rPr>
          <w:rFonts w:ascii="Times New Roman" w:hAnsi="Times New Roman"/>
          <w:szCs w:val="21"/>
        </w:rPr>
        <w:t>（项目名称）招标文件的全部内容，愿意以</w:t>
      </w:r>
      <w:r>
        <w:rPr>
          <w:rFonts w:hint="eastAsia" w:ascii="Times New Roman" w:hAnsi="Times New Roman"/>
          <w:szCs w:val="21"/>
        </w:rPr>
        <w:t>投标</w:t>
      </w:r>
      <w:r>
        <w:rPr>
          <w:rFonts w:ascii="Times New Roman" w:hAnsi="Times New Roman"/>
          <w:szCs w:val="21"/>
        </w:rPr>
        <w:t>文件</w:t>
      </w:r>
      <w:r>
        <w:rPr>
          <w:rFonts w:hint="eastAsia" w:ascii="Times New Roman" w:hAnsi="Times New Roman"/>
          <w:szCs w:val="21"/>
        </w:rPr>
        <w:t>所填报的</w:t>
      </w:r>
      <w:r>
        <w:rPr>
          <w:rFonts w:ascii="Times New Roman" w:hAnsi="Times New Roman"/>
          <w:szCs w:val="21"/>
        </w:rPr>
        <w:t>投标报价，按合同约定完成</w:t>
      </w:r>
      <w:r>
        <w:rPr>
          <w:rFonts w:hint="eastAsia" w:ascii="Times New Roman" w:hAnsi="Times New Roman"/>
          <w:szCs w:val="21"/>
        </w:rPr>
        <w:t>相关</w:t>
      </w:r>
      <w:r>
        <w:rPr>
          <w:rFonts w:ascii="Times New Roman" w:hAnsi="Times New Roman"/>
          <w:szCs w:val="21"/>
        </w:rPr>
        <w:t>工作。</w:t>
      </w:r>
    </w:p>
    <w:p>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pPr>
        <w:spacing w:line="400" w:lineRule="exact"/>
        <w:ind w:firstLine="405"/>
        <w:rPr>
          <w:rFonts w:ascii="Times New Roman" w:hAnsi="Times New Roman"/>
          <w:szCs w:val="21"/>
        </w:rPr>
      </w:pPr>
      <w:r>
        <w:rPr>
          <w:rFonts w:ascii="Times New Roman" w:hAnsi="Times New Roman"/>
          <w:szCs w:val="21"/>
        </w:rPr>
        <w:t>（1）投标函</w:t>
      </w:r>
      <w:r>
        <w:rPr>
          <w:rFonts w:ascii="Times New Roman" w:hAnsi="Times New Roman"/>
        </w:rPr>
        <w:t>及投标函附录</w:t>
      </w:r>
      <w:r>
        <w:rPr>
          <w:rFonts w:ascii="Times New Roman" w:hAnsi="Times New Roman"/>
          <w:szCs w:val="21"/>
        </w:rPr>
        <w:t>；</w:t>
      </w:r>
    </w:p>
    <w:p>
      <w:pPr>
        <w:spacing w:line="400" w:lineRule="exact"/>
        <w:ind w:firstLine="405"/>
        <w:rPr>
          <w:rFonts w:ascii="Times New Roman" w:hAnsi="Times New Roman"/>
          <w:szCs w:val="21"/>
        </w:rPr>
      </w:pPr>
      <w:r>
        <w:rPr>
          <w:rFonts w:ascii="Times New Roman" w:hAnsi="Times New Roman"/>
          <w:szCs w:val="21"/>
        </w:rPr>
        <w:t>（2）法定代表人身份证明或授权委托书；</w:t>
      </w:r>
    </w:p>
    <w:p>
      <w:pPr>
        <w:spacing w:line="400" w:lineRule="exact"/>
        <w:ind w:firstLine="405"/>
        <w:rPr>
          <w:rFonts w:ascii="Times New Roman" w:hAnsi="Times New Roman"/>
          <w:szCs w:val="21"/>
        </w:rPr>
      </w:pPr>
      <w:r>
        <w:rPr>
          <w:rFonts w:ascii="Times New Roman" w:hAnsi="Times New Roman"/>
          <w:szCs w:val="21"/>
        </w:rPr>
        <w:t>（</w:t>
      </w:r>
      <w:r>
        <w:rPr>
          <w:rFonts w:hint="eastAsia" w:ascii="Times New Roman" w:hAnsi="Times New Roman"/>
          <w:szCs w:val="21"/>
        </w:rPr>
        <w:t>3</w:t>
      </w:r>
      <w:r>
        <w:rPr>
          <w:rFonts w:ascii="Times New Roman" w:hAnsi="Times New Roman"/>
          <w:szCs w:val="21"/>
        </w:rPr>
        <w:t>）投标保证金；</w:t>
      </w:r>
    </w:p>
    <w:p>
      <w:pPr>
        <w:spacing w:line="400" w:lineRule="exact"/>
        <w:ind w:firstLine="405"/>
        <w:rPr>
          <w:rFonts w:ascii="Times New Roman" w:hAnsi="Times New Roman"/>
          <w:szCs w:val="21"/>
        </w:rPr>
      </w:pPr>
      <w:r>
        <w:rPr>
          <w:rFonts w:ascii="Times New Roman" w:hAnsi="Times New Roman"/>
          <w:szCs w:val="21"/>
        </w:rPr>
        <w:t>（</w:t>
      </w:r>
      <w:r>
        <w:rPr>
          <w:rFonts w:hint="eastAsia" w:ascii="Times New Roman" w:hAnsi="Times New Roman"/>
          <w:szCs w:val="21"/>
        </w:rPr>
        <w:t>4</w:t>
      </w:r>
      <w:r>
        <w:rPr>
          <w:rFonts w:ascii="Times New Roman" w:hAnsi="Times New Roman"/>
          <w:szCs w:val="21"/>
        </w:rPr>
        <w:t>）费用清单；</w:t>
      </w:r>
    </w:p>
    <w:p>
      <w:pPr>
        <w:spacing w:line="400" w:lineRule="exact"/>
        <w:ind w:firstLine="405"/>
        <w:rPr>
          <w:rFonts w:ascii="Times New Roman" w:hAnsi="Times New Roman"/>
          <w:szCs w:val="21"/>
        </w:rPr>
      </w:pPr>
      <w:r>
        <w:rPr>
          <w:rFonts w:ascii="Times New Roman" w:hAnsi="Times New Roman"/>
          <w:szCs w:val="21"/>
        </w:rPr>
        <w:t>（</w:t>
      </w:r>
      <w:r>
        <w:rPr>
          <w:rFonts w:hint="eastAsia" w:ascii="Times New Roman" w:hAnsi="Times New Roman"/>
          <w:szCs w:val="21"/>
        </w:rPr>
        <w:t>5</w:t>
      </w:r>
      <w:r>
        <w:rPr>
          <w:rFonts w:ascii="Times New Roman" w:hAnsi="Times New Roman"/>
          <w:szCs w:val="21"/>
        </w:rPr>
        <w:t>）资格审查资料；</w:t>
      </w:r>
    </w:p>
    <w:p>
      <w:pPr>
        <w:spacing w:line="400" w:lineRule="exact"/>
        <w:ind w:firstLine="405"/>
        <w:rPr>
          <w:rFonts w:ascii="Times New Roman" w:hAnsi="Times New Roman"/>
          <w:szCs w:val="21"/>
        </w:rPr>
      </w:pP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20" w:firstLineChars="200"/>
        <w:rPr>
          <w:rFonts w:ascii="Times New Roman" w:hAnsi="Times New Roman"/>
          <w:szCs w:val="21"/>
        </w:rPr>
      </w:pPr>
      <w:r>
        <w:rPr>
          <w:rFonts w:ascii="Times New Roman" w:hAnsi="Times New Roman"/>
          <w:szCs w:val="21"/>
        </w:rPr>
        <w:t>3．我方承诺在招标文件规定的投标有效期</w:t>
      </w:r>
      <w:r>
        <w:rPr>
          <w:rFonts w:hint="eastAsia" w:ascii="Times New Roman" w:hAnsi="Times New Roman"/>
          <w:szCs w:val="21"/>
          <w:lang w:eastAsia="zh-CN"/>
        </w:rPr>
        <w:t>（</w:t>
      </w:r>
      <w:r>
        <w:rPr>
          <w:rFonts w:hint="eastAsia" w:ascii="Times New Roman" w:hAnsi="Times New Roman"/>
          <w:szCs w:val="21"/>
          <w:lang w:val="en-US" w:eastAsia="zh-CN"/>
        </w:rPr>
        <w:t>120天</w:t>
      </w:r>
      <w:r>
        <w:rPr>
          <w:rFonts w:hint="eastAsia" w:ascii="Times New Roman" w:hAnsi="Times New Roman"/>
          <w:szCs w:val="21"/>
          <w:lang w:eastAsia="zh-CN"/>
        </w:rPr>
        <w:t>）</w:t>
      </w:r>
      <w:r>
        <w:rPr>
          <w:rFonts w:ascii="Times New Roman" w:hAnsi="Times New Roman"/>
          <w:szCs w:val="21"/>
        </w:rPr>
        <w:t>内不撤销投标文件。</w:t>
      </w:r>
    </w:p>
    <w:p>
      <w:pPr>
        <w:spacing w:line="440" w:lineRule="exact"/>
        <w:ind w:firstLine="420" w:firstLineChars="200"/>
        <w:rPr>
          <w:rFonts w:ascii="Times New Roman" w:hAnsi="Times New Roman"/>
          <w:szCs w:val="21"/>
        </w:rPr>
      </w:pPr>
      <w:r>
        <w:rPr>
          <w:rFonts w:ascii="Times New Roman" w:hAnsi="Times New Roman"/>
          <w:szCs w:val="21"/>
        </w:rPr>
        <w:t>4．如我方中标，我方承诺：</w:t>
      </w:r>
    </w:p>
    <w:p>
      <w:pPr>
        <w:spacing w:line="440" w:lineRule="exact"/>
        <w:ind w:left="945" w:leftChars="400" w:hanging="105" w:hangingChars="50"/>
        <w:rPr>
          <w:rFonts w:ascii="Times New Roman" w:hAnsi="Times New Roman"/>
          <w:szCs w:val="21"/>
        </w:rPr>
      </w:pPr>
      <w:r>
        <w:rPr>
          <w:rFonts w:ascii="Times New Roman" w:hAnsi="Times New Roman"/>
          <w:szCs w:val="21"/>
        </w:rPr>
        <w:t>（1）在收到中标通知书后，在中标通知书规定的期限内与你方签订合同；</w:t>
      </w:r>
    </w:p>
    <w:p>
      <w:pPr>
        <w:spacing w:line="440" w:lineRule="exact"/>
        <w:ind w:left="945" w:leftChars="400" w:hanging="105" w:hangingChars="50"/>
        <w:rPr>
          <w:rFonts w:ascii="Times New Roman" w:hAnsi="Times New Roman"/>
          <w:szCs w:val="21"/>
        </w:rPr>
      </w:pPr>
      <w:r>
        <w:rPr>
          <w:rFonts w:ascii="Times New Roman" w:hAnsi="Times New Roman"/>
          <w:szCs w:val="21"/>
        </w:rPr>
        <w:t>（2）在签订合同时不向你方提出附加条件；</w:t>
      </w:r>
    </w:p>
    <w:p>
      <w:pPr>
        <w:spacing w:line="440" w:lineRule="exact"/>
        <w:ind w:left="945" w:leftChars="400" w:hanging="105" w:hangingChars="50"/>
        <w:rPr>
          <w:rFonts w:ascii="Times New Roman" w:hAnsi="Times New Roman"/>
          <w:szCs w:val="21"/>
        </w:rPr>
      </w:pPr>
      <w:r>
        <w:rPr>
          <w:rFonts w:ascii="Times New Roman" w:hAnsi="Times New Roman"/>
          <w:szCs w:val="21"/>
        </w:rPr>
        <w:t>（3）按照招标文件要求提交履约保证金；</w:t>
      </w:r>
      <w:bookmarkStart w:id="481" w:name="_Toc352691658"/>
      <w:bookmarkStart w:id="482" w:name="_Toc369531694"/>
      <w:bookmarkStart w:id="483" w:name="_Toc1187"/>
    </w:p>
    <w:p>
      <w:pPr>
        <w:spacing w:line="440" w:lineRule="exact"/>
        <w:ind w:left="945" w:leftChars="400" w:hanging="105" w:hangingChars="50"/>
        <w:rPr>
          <w:rFonts w:ascii="Times New Roman" w:hAnsi="Times New Roman"/>
          <w:szCs w:val="21"/>
        </w:rPr>
      </w:pPr>
      <w:r>
        <w:rPr>
          <w:rFonts w:ascii="Times New Roman" w:hAnsi="Times New Roman"/>
          <w:szCs w:val="21"/>
        </w:rPr>
        <w:t>（4）在合</w:t>
      </w:r>
      <w:bookmarkEnd w:id="481"/>
      <w:bookmarkEnd w:id="482"/>
      <w:bookmarkEnd w:id="483"/>
      <w:r>
        <w:rPr>
          <w:rFonts w:ascii="Times New Roman" w:hAnsi="Times New Roman"/>
          <w:szCs w:val="21"/>
        </w:rPr>
        <w:t>同约定的期限内完成合同规定的全部义务。</w:t>
      </w:r>
    </w:p>
    <w:p>
      <w:pPr>
        <w:spacing w:line="440" w:lineRule="exact"/>
        <w:ind w:firstLine="420" w:firstLineChars="200"/>
        <w:rPr>
          <w:rFonts w:ascii="Times New Roman" w:hAnsi="Times New Roman"/>
          <w:szCs w:val="21"/>
        </w:rPr>
      </w:pPr>
      <w:r>
        <w:rPr>
          <w:rFonts w:ascii="Times New Roman" w:hAnsi="Times New Roman"/>
          <w:szCs w:val="21"/>
        </w:rPr>
        <w:t>5．我方在此声明，所递交的投标文件及有关资料内容完整、真实和准确，且不存在第二章“投标人须知”第1.4.3项规定的任何一种情形。</w:t>
      </w:r>
    </w:p>
    <w:p>
      <w:pPr>
        <w:spacing w:line="440" w:lineRule="exact"/>
        <w:ind w:firstLine="420" w:firstLineChars="200"/>
        <w:rPr>
          <w:rFonts w:ascii="Times New Roman" w:hAnsi="Times New Roman"/>
          <w:szCs w:val="21"/>
        </w:rPr>
      </w:pPr>
      <w:r>
        <w:rPr>
          <w:rFonts w:ascii="Times New Roman" w:hAnsi="Times New Roman"/>
          <w:szCs w:val="21"/>
        </w:rPr>
        <w:t>6．</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jc w:val="left"/>
        <w:rPr>
          <w:rFonts w:ascii="Times New Roman" w:hAnsi="Times New Roman"/>
          <w:szCs w:val="21"/>
        </w:rPr>
      </w:pPr>
      <w:bookmarkStart w:id="484" w:name="_Toc369531695"/>
      <w:bookmarkEnd w:id="484"/>
      <w:bookmarkStart w:id="485" w:name="_Toc16568"/>
      <w:bookmarkEnd w:id="485"/>
      <w:bookmarkStart w:id="486" w:name="_Toc352691659"/>
      <w:bookmarkEnd w:id="486"/>
      <w:bookmarkStart w:id="487" w:name="_Toc352691660"/>
      <w:bookmarkEnd w:id="487"/>
      <w:bookmarkStart w:id="488" w:name="_Toc369531696"/>
      <w:bookmarkEnd w:id="488"/>
      <w:bookmarkStart w:id="489" w:name="_Toc16824"/>
      <w:bookmarkEnd w:id="489"/>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rPr>
        <w:t>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jc w:val="left"/>
        <w:rPr>
          <w:rFonts w:ascii="Times New Roman" w:hAnsi="Times New Roman"/>
          <w:szCs w:val="21"/>
          <w:u w:val="single"/>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jc w:val="left"/>
        <w:rPr>
          <w:rFonts w:ascii="Times New Roman" w:hAnsi="Times New Roman" w:eastAsia="黑体"/>
          <w:sz w:val="20"/>
        </w:r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bookmarkStart w:id="490" w:name="_Toc17960"/>
      <w:bookmarkStart w:id="491" w:name="_Toc247514246"/>
      <w:bookmarkStart w:id="492" w:name="_Toc300835209"/>
      <w:bookmarkStart w:id="493" w:name="_Toc384308375"/>
      <w:bookmarkStart w:id="494" w:name="_Toc152045787"/>
      <w:bookmarkStart w:id="495" w:name="_Toc361508752"/>
      <w:bookmarkStart w:id="496" w:name="_Toc247527827"/>
      <w:bookmarkStart w:id="497" w:name="_Toc152042576"/>
      <w:bookmarkStart w:id="498" w:name="_Toc352691661"/>
      <w:bookmarkStart w:id="499" w:name="_Toc369531697"/>
      <w:bookmarkStart w:id="500" w:name="_Toc144974856"/>
    </w:p>
    <w:p>
      <w:pPr>
        <w:spacing w:line="440" w:lineRule="exact"/>
        <w:rPr>
          <w:rFonts w:ascii="Times New Roman" w:hAnsi="Times New Roman" w:eastAsia="黑体"/>
          <w:sz w:val="20"/>
        </w:rPr>
      </w:pPr>
      <w:r>
        <w:rPr>
          <w:rFonts w:ascii="Times New Roman" w:hAnsi="Times New Roman"/>
          <w:szCs w:val="21"/>
        </w:rPr>
        <w:br w:type="page"/>
      </w:r>
    </w:p>
    <w:p>
      <w:pPr>
        <w:spacing w:line="180" w:lineRule="atLeast"/>
        <w:jc w:val="left"/>
        <w:rPr>
          <w:rFonts w:hint="eastAsia" w:ascii="Times New Roman" w:hAnsi="Times New Roman"/>
        </w:rPr>
      </w:pPr>
      <w:bookmarkStart w:id="501" w:name="_Toc370676427"/>
      <w:bookmarkStart w:id="502" w:name="_Toc56856963"/>
      <w:bookmarkStart w:id="503" w:name="_Toc359594236"/>
      <w:bookmarkStart w:id="504" w:name="_Toc391394112"/>
      <w:bookmarkStart w:id="505" w:name="_Toc482188652"/>
      <w:bookmarkStart w:id="506" w:name="_Toc385943066"/>
      <w:r>
        <w:rPr>
          <w:rFonts w:hint="eastAsia" w:ascii="Times New Roman" w:hAnsi="Times New Roman"/>
        </w:rPr>
        <w:t>（二）投标函附录</w:t>
      </w:r>
      <w:bookmarkEnd w:id="501"/>
      <w:bookmarkEnd w:id="502"/>
      <w:bookmarkEnd w:id="503"/>
      <w:bookmarkEnd w:id="504"/>
      <w:bookmarkEnd w:id="505"/>
      <w:bookmarkEnd w:id="506"/>
    </w:p>
    <w:p>
      <w:pPr>
        <w:spacing w:line="180" w:lineRule="atLeast"/>
        <w:jc w:val="center"/>
        <w:rPr>
          <w:rFonts w:hint="eastAsia" w:ascii="宋体" w:hAnsi="宋体" w:cs="宋体"/>
          <w:b/>
          <w:bCs/>
          <w:sz w:val="32"/>
          <w:szCs w:val="24"/>
          <w:highlight w:val="none"/>
          <w:lang w:val="en-US" w:eastAsia="zh-CN"/>
        </w:rPr>
      </w:pPr>
    </w:p>
    <w:p>
      <w:pPr>
        <w:spacing w:line="180" w:lineRule="atLeast"/>
        <w:jc w:val="center"/>
        <w:rPr>
          <w:rFonts w:ascii="宋体" w:hAnsi="宋体" w:cs="宋体"/>
          <w:b/>
          <w:bCs/>
          <w:sz w:val="32"/>
          <w:szCs w:val="24"/>
          <w:highlight w:val="none"/>
        </w:rPr>
      </w:pPr>
      <w:r>
        <w:rPr>
          <w:rFonts w:hint="eastAsia" w:ascii="宋体" w:hAnsi="宋体" w:cs="宋体"/>
          <w:b/>
          <w:bCs/>
          <w:sz w:val="32"/>
          <w:szCs w:val="24"/>
          <w:highlight w:val="none"/>
          <w:lang w:val="en-US" w:eastAsia="zh-CN"/>
        </w:rPr>
        <w:t>投标报价表</w:t>
      </w:r>
    </w:p>
    <w:tbl>
      <w:tblPr>
        <w:tblStyle w:val="43"/>
        <w:tblpPr w:leftFromText="180" w:rightFromText="180" w:vertAnchor="text" w:horzAnchor="margin" w:tblpXSpec="center" w:tblpY="275"/>
        <w:tblW w:w="8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0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lang w:val="zh-CN"/>
              </w:rPr>
            </w:pPr>
            <w:r>
              <w:rPr>
                <w:rFonts w:hint="eastAsia" w:ascii="宋体" w:hAnsi="宋体" w:cs="宋体"/>
                <w:lang w:val="zh-CN"/>
              </w:rPr>
              <w:t>项目名称</w:t>
            </w:r>
          </w:p>
        </w:tc>
        <w:tc>
          <w:tcPr>
            <w:tcW w:w="5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01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lang w:val="zh-CN"/>
              </w:rPr>
            </w:pPr>
            <w:r>
              <w:rPr>
                <w:rFonts w:hint="eastAsia" w:ascii="宋体" w:hAnsi="宋体" w:cs="宋体"/>
                <w:lang w:val="zh-CN"/>
              </w:rPr>
              <w:t>投标报价（元）</w:t>
            </w:r>
          </w:p>
        </w:tc>
        <w:tc>
          <w:tcPr>
            <w:tcW w:w="5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lang w:val="zh-CN"/>
              </w:rPr>
            </w:pPr>
            <w:r>
              <w:rPr>
                <w:rFonts w:hint="eastAsia" w:ascii="宋体" w:hAnsi="宋体"/>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0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lang w:val="zh-CN"/>
              </w:rPr>
            </w:pPr>
          </w:p>
        </w:tc>
        <w:tc>
          <w:tcPr>
            <w:tcW w:w="5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lang w:val="zh-CN"/>
              </w:rPr>
            </w:pPr>
            <w:r>
              <w:rPr>
                <w:rFonts w:hint="eastAsia" w:ascii="宋体" w:hAnsi="宋体"/>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0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lang w:val="zh-CN"/>
              </w:rPr>
            </w:pPr>
            <w:r>
              <w:rPr>
                <w:rFonts w:hint="eastAsia" w:ascii="宋体" w:hAnsi="宋体" w:cs="宋体"/>
                <w:lang w:val="en-US" w:eastAsia="zh-CN"/>
              </w:rPr>
              <w:t>供货期</w:t>
            </w:r>
          </w:p>
        </w:tc>
        <w:tc>
          <w:tcPr>
            <w:tcW w:w="5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lang w:val="zh-CN"/>
              </w:rPr>
            </w:pPr>
            <w:r>
              <w:rPr>
                <w:rFonts w:hint="eastAsia" w:ascii="宋体" w:hAnsi="宋体" w:eastAsia="宋体" w:cs="宋体"/>
                <w:bCs/>
                <w:highlight w:val="none"/>
                <w:u w:val="none"/>
                <w:lang w:val="zh-CN"/>
              </w:rPr>
              <w:t>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0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lang w:val="zh-CN" w:eastAsia="zh-CN"/>
              </w:rPr>
            </w:pPr>
            <w:r>
              <w:rPr>
                <w:rFonts w:hint="eastAsia" w:ascii="宋体" w:hAnsi="宋体" w:cs="宋体"/>
                <w:bCs/>
                <w:lang w:val="zh-CN"/>
              </w:rPr>
              <w:t>质量标准</w:t>
            </w:r>
          </w:p>
        </w:tc>
        <w:tc>
          <w:tcPr>
            <w:tcW w:w="5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lang w:val="zh-CN"/>
              </w:rPr>
            </w:pPr>
            <w:r>
              <w:rPr>
                <w:rFonts w:hint="eastAsia" w:ascii="宋体" w:hAnsi="宋体" w:cs="宋体"/>
                <w:bCs/>
                <w:lang w:val="zh-CN"/>
              </w:rPr>
              <w:t>1. 所供货物必须符合中华人民共和国国家标准或行业标准；</w:t>
            </w:r>
          </w:p>
          <w:p>
            <w:pPr>
              <w:autoSpaceDE w:val="0"/>
              <w:autoSpaceDN w:val="0"/>
              <w:adjustRightInd w:val="0"/>
              <w:rPr>
                <w:rFonts w:ascii="宋体" w:hAnsi="宋体" w:cs="宋体"/>
                <w:bCs/>
                <w:lang w:val="zh-CN"/>
              </w:rPr>
            </w:pPr>
            <w:r>
              <w:rPr>
                <w:rFonts w:hint="eastAsia" w:ascii="宋体" w:hAnsi="宋体" w:cs="宋体"/>
                <w:bCs/>
                <w:lang w:val="zh-CN"/>
              </w:rPr>
              <w:t xml:space="preserve">2. 所有产品的质量标准必须按国家现行的规范。 </w:t>
            </w:r>
          </w:p>
        </w:tc>
      </w:tr>
    </w:tbl>
    <w:p/>
    <w:p>
      <w:pPr>
        <w:spacing w:line="360" w:lineRule="auto"/>
        <w:ind w:firstLine="2975" w:firstLineChars="1417"/>
        <w:rPr>
          <w:rFonts w:ascii="宋体" w:hAnsi="宋体"/>
          <w:szCs w:val="21"/>
        </w:rPr>
      </w:pPr>
    </w:p>
    <w:p>
      <w:pPr>
        <w:spacing w:line="360" w:lineRule="auto"/>
        <w:ind w:firstLine="2975" w:firstLineChars="1417"/>
        <w:rPr>
          <w:rFonts w:ascii="宋体" w:hAnsi="宋体"/>
          <w:szCs w:val="21"/>
        </w:rPr>
      </w:pPr>
      <w:r>
        <w:rPr>
          <w:rFonts w:ascii="宋体" w:hAnsi="宋体"/>
          <w:szCs w:val="21"/>
        </w:rPr>
        <w:t>投 标 人：</w:t>
      </w:r>
      <w:r>
        <w:rPr>
          <w:rFonts w:ascii="宋体" w:hAnsi="宋体"/>
          <w:szCs w:val="21"/>
          <w:u w:val="single"/>
        </w:rPr>
        <w:t xml:space="preserve">                      </w:t>
      </w:r>
      <w:r>
        <w:rPr>
          <w:rFonts w:ascii="宋体" w:hAnsi="宋体"/>
          <w:szCs w:val="21"/>
        </w:rPr>
        <w:t>（</w:t>
      </w:r>
      <w:r>
        <w:rPr>
          <w:rFonts w:ascii="Times New Roman" w:hAnsi="Times New Roman"/>
          <w:szCs w:val="21"/>
        </w:rPr>
        <w:t>盖单位章</w:t>
      </w:r>
      <w:r>
        <w:rPr>
          <w:rFonts w:ascii="宋体" w:hAnsi="宋体"/>
          <w:szCs w:val="21"/>
        </w:rPr>
        <w:t>）</w:t>
      </w:r>
    </w:p>
    <w:p>
      <w:pPr>
        <w:spacing w:line="360" w:lineRule="auto"/>
        <w:ind w:firstLine="2975" w:firstLineChars="1417"/>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szCs w:val="21"/>
        </w:rPr>
        <w:t>签名或盖章</w:t>
      </w:r>
      <w:r>
        <w:rPr>
          <w:rFonts w:ascii="宋体" w:hAnsi="宋体"/>
          <w:szCs w:val="21"/>
        </w:rPr>
        <w:t>）</w:t>
      </w:r>
    </w:p>
    <w:p>
      <w:pPr>
        <w:pStyle w:val="6"/>
        <w:rPr>
          <w:rFonts w:ascii="宋体" w:hAnsi="宋体"/>
          <w:szCs w:val="21"/>
        </w:rPr>
      </w:pPr>
    </w:p>
    <w:p>
      <w:pPr>
        <w:spacing w:line="300" w:lineRule="auto"/>
        <w:rPr>
          <w:rFonts w:ascii="宋体" w:hAnsi="宋体" w:cs="宋体"/>
          <w:sz w:val="24"/>
          <w:szCs w:val="24"/>
          <w:highlight w:val="none"/>
        </w:rPr>
      </w:pPr>
    </w:p>
    <w:p>
      <w:pPr>
        <w:spacing w:line="360" w:lineRule="auto"/>
        <w:rPr>
          <w:rFonts w:hAnsi="宋体"/>
          <w:szCs w:val="21"/>
          <w:highlight w:val="none"/>
        </w:rPr>
      </w:pPr>
      <w:r>
        <w:rPr>
          <w:rFonts w:hint="eastAsia" w:ascii="宋体" w:hAnsi="宋体" w:cs="宋体"/>
          <w:szCs w:val="21"/>
          <w:highlight w:val="none"/>
        </w:rPr>
        <w:t>注：</w:t>
      </w:r>
      <w:r>
        <w:rPr>
          <w:rFonts w:hint="eastAsia" w:hAnsi="宋体"/>
          <w:szCs w:val="21"/>
          <w:highlight w:val="none"/>
        </w:rPr>
        <w:t>1. 投标时报价结果保留到小数点后两位。</w:t>
      </w:r>
    </w:p>
    <w:p>
      <w:pPr>
        <w:spacing w:line="360" w:lineRule="auto"/>
        <w:rPr>
          <w:rFonts w:hint="eastAsia" w:hAnsi="宋体"/>
          <w:szCs w:val="21"/>
          <w:highlight w:val="none"/>
        </w:rPr>
      </w:pPr>
      <w:r>
        <w:rPr>
          <w:rFonts w:hint="eastAsia" w:hAnsi="宋体"/>
          <w:szCs w:val="21"/>
          <w:highlight w:val="none"/>
        </w:rPr>
        <w:t>2</w:t>
      </w:r>
      <w:r>
        <w:rPr>
          <w:rFonts w:hint="eastAsia" w:hAnsi="宋体"/>
          <w:szCs w:val="21"/>
          <w:highlight w:val="none"/>
          <w:lang w:val="zh-CN"/>
        </w:rPr>
        <w:t>．</w:t>
      </w:r>
      <w:r>
        <w:rPr>
          <w:rFonts w:hint="eastAsia" w:hAnsi="宋体"/>
          <w:b w:val="0"/>
          <w:bCs w:val="0"/>
          <w:szCs w:val="21"/>
          <w:highlight w:val="none"/>
          <w:u w:val="none"/>
          <w:lang w:val="zh-CN"/>
        </w:rPr>
        <w:t>本表一式二份，一份随唱标信封一起提交，一份编入投标文件</w:t>
      </w:r>
      <w:r>
        <w:rPr>
          <w:rFonts w:hint="eastAsia" w:ascii="Calibri" w:hAnsi="宋体" w:cs="Times New Roman"/>
          <w:b w:val="0"/>
          <w:bCs w:val="0"/>
          <w:szCs w:val="21"/>
          <w:highlight w:val="none"/>
          <w:u w:val="none"/>
          <w:lang w:val="zh-CN"/>
        </w:rPr>
        <w:t>。</w:t>
      </w:r>
    </w:p>
    <w:p>
      <w:pPr>
        <w:widowControl/>
        <w:jc w:val="left"/>
        <w:rPr>
          <w:rFonts w:ascii="宋体" w:hAnsi="宋体"/>
          <w:szCs w:val="21"/>
        </w:rPr>
      </w:pPr>
      <w:r>
        <w:rPr>
          <w:rFonts w:ascii="宋体" w:hAnsi="宋体"/>
          <w:szCs w:val="21"/>
        </w:rPr>
        <w:br w:type="page"/>
      </w:r>
    </w:p>
    <w:p>
      <w:pPr>
        <w:spacing w:line="360" w:lineRule="auto"/>
        <w:ind w:firstLine="2975" w:firstLineChars="1417"/>
        <w:rPr>
          <w:rFonts w:ascii="宋体" w:hAnsi="宋体"/>
          <w:szCs w:val="21"/>
        </w:rPr>
      </w:pPr>
    </w:p>
    <w:p>
      <w:pPr>
        <w:pStyle w:val="7"/>
        <w:jc w:val="center"/>
        <w:rPr>
          <w:rFonts w:ascii="Times New Roman" w:hAnsi="Times New Roman"/>
        </w:rPr>
      </w:pPr>
      <w:r>
        <w:rPr>
          <w:rFonts w:ascii="Times New Roman" w:hAnsi="Times New Roman"/>
        </w:rPr>
        <w:t>二</w:t>
      </w:r>
      <w:bookmarkEnd w:id="490"/>
      <w:bookmarkEnd w:id="491"/>
      <w:bookmarkEnd w:id="492"/>
      <w:bookmarkEnd w:id="493"/>
      <w:bookmarkEnd w:id="494"/>
      <w:bookmarkEnd w:id="495"/>
      <w:bookmarkEnd w:id="496"/>
      <w:bookmarkEnd w:id="497"/>
      <w:bookmarkEnd w:id="498"/>
      <w:bookmarkEnd w:id="499"/>
      <w:bookmarkEnd w:id="500"/>
      <w:r>
        <w:rPr>
          <w:rFonts w:ascii="Times New Roman" w:hAnsi="Times New Roman"/>
        </w:rPr>
        <w:t>、法定代表人身份证明</w:t>
      </w:r>
    </w:p>
    <w:p>
      <w:pPr>
        <w:spacing w:line="440" w:lineRule="exact"/>
        <w:rPr>
          <w:rFonts w:ascii="Times New Roman" w:hAnsi="Times New Roman"/>
          <w:sz w:val="20"/>
        </w:rPr>
      </w:pP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投标人名称：</w:t>
      </w:r>
      <w:r>
        <w:rPr>
          <w:rFonts w:ascii="Times New Roman" w:hAnsi="Times New Roman"/>
          <w:u w:val="single"/>
        </w:rPr>
        <w:t xml:space="preserve">                        </w:t>
      </w:r>
    </w:p>
    <w:p>
      <w:pPr>
        <w:spacing w:line="440" w:lineRule="exact"/>
        <w:rPr>
          <w:rFonts w:ascii="Times New Roman" w:hAnsi="Times New Roman"/>
        </w:rPr>
      </w:pPr>
      <w:r>
        <w:rPr>
          <w:rFonts w:ascii="Times New Roman" w:hAnsi="Times New Roman"/>
        </w:rPr>
        <w:t>姓名：</w:t>
      </w:r>
      <w:r>
        <w:rPr>
          <w:rFonts w:ascii="Times New Roman" w:hAnsi="Times New Roman"/>
          <w:u w:val="single"/>
        </w:rPr>
        <w:t xml:space="preserve">                </w:t>
      </w:r>
      <w:r>
        <w:rPr>
          <w:rFonts w:ascii="Times New Roman" w:hAnsi="Times New Roman"/>
        </w:rPr>
        <w:t>性别：</w:t>
      </w:r>
      <w:r>
        <w:rPr>
          <w:rFonts w:ascii="Times New Roman" w:hAnsi="Times New Roman"/>
          <w:u w:val="single"/>
        </w:rPr>
        <w:t xml:space="preserve">        </w:t>
      </w:r>
      <w:r>
        <w:rPr>
          <w:rFonts w:ascii="Times New Roman" w:hAnsi="Times New Roman"/>
        </w:rPr>
        <w:t>年龄：</w:t>
      </w:r>
      <w:r>
        <w:rPr>
          <w:rFonts w:ascii="Times New Roman" w:hAnsi="Times New Roman"/>
          <w:u w:val="single"/>
        </w:rPr>
        <w:t xml:space="preserve">        </w:t>
      </w:r>
      <w:r>
        <w:rPr>
          <w:rFonts w:ascii="Times New Roman" w:hAnsi="Times New Roman"/>
        </w:rPr>
        <w:t>职务：</w:t>
      </w:r>
      <w:r>
        <w:rPr>
          <w:rFonts w:ascii="Times New Roman" w:hAnsi="Times New Roman"/>
          <w:u w:val="single"/>
        </w:rPr>
        <w:t xml:space="preserve">        </w:t>
      </w:r>
    </w:p>
    <w:p>
      <w:pPr>
        <w:spacing w:line="440" w:lineRule="exact"/>
        <w:rPr>
          <w:rFonts w:ascii="Times New Roman" w:hAnsi="Times New Roman"/>
        </w:rPr>
      </w:pPr>
      <w:r>
        <w:rPr>
          <w:rFonts w:ascii="Times New Roman" w:hAnsi="Times New Roman"/>
        </w:rPr>
        <w:t>系</w:t>
      </w:r>
      <w:r>
        <w:rPr>
          <w:rFonts w:ascii="Times New Roman" w:hAnsi="Times New Roman"/>
          <w:u w:val="single"/>
        </w:rPr>
        <w:t xml:space="preserve">                        </w:t>
      </w:r>
      <w:r>
        <w:rPr>
          <w:rFonts w:ascii="Times New Roman" w:hAnsi="Times New Roman"/>
        </w:rPr>
        <w:t>（投标人名称）的法定代表人。</w:t>
      </w:r>
    </w:p>
    <w:p>
      <w:pPr>
        <w:spacing w:line="440" w:lineRule="exact"/>
        <w:ind w:firstLine="420" w:firstLineChars="200"/>
        <w:rPr>
          <w:rFonts w:ascii="Times New Roman" w:hAnsi="Times New Roman"/>
        </w:rPr>
      </w:pPr>
      <w:r>
        <w:rPr>
          <w:rFonts w:ascii="Times New Roman" w:hAnsi="Times New Roman"/>
        </w:rPr>
        <w:t>特此证明。</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附：法定代表人身份证复印件。</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注：本身份证明需由投标人加盖单位公章。</w:t>
      </w:r>
    </w:p>
    <w:p>
      <w:pPr>
        <w:spacing w:line="440" w:lineRule="exact"/>
        <w:rPr>
          <w:rFonts w:ascii="Times New Roman" w:hAnsi="Times New Roman"/>
        </w:rPr>
      </w:pPr>
    </w:p>
    <w:p>
      <w:pPr>
        <w:spacing w:line="440" w:lineRule="exact"/>
        <w:rPr>
          <w:rFonts w:ascii="Times New Roman" w:hAnsi="Times New Roman"/>
        </w:rPr>
      </w:pPr>
    </w:p>
    <w:p>
      <w:pPr>
        <w:spacing w:line="440" w:lineRule="exact"/>
        <w:jc w:val="center"/>
        <w:rPr>
          <w:rFonts w:ascii="Times New Roman" w:hAnsi="Times New Roman"/>
        </w:rPr>
      </w:pPr>
      <w:r>
        <w:rPr>
          <w:rFonts w:ascii="Times New Roman" w:hAnsi="Times New Roman"/>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w:t>
      </w:r>
      <w:r>
        <w:rPr>
          <w:rFonts w:hint="eastAsia" w:ascii="Times New Roman" w:hAnsi="Times New Roman"/>
        </w:rPr>
        <w:t>盖</w:t>
      </w:r>
      <w:r>
        <w:rPr>
          <w:rFonts w:ascii="Times New Roman" w:hAnsi="Times New Roman"/>
        </w:rPr>
        <w:t>单位</w:t>
      </w:r>
      <w:r>
        <w:rPr>
          <w:rFonts w:hint="eastAsia" w:ascii="Times New Roman" w:hAnsi="Times New Roman"/>
        </w:rPr>
        <w:t>章</w:t>
      </w:r>
      <w:r>
        <w:rPr>
          <w:rFonts w:ascii="Times New Roman" w:hAnsi="Times New Roman"/>
        </w:rPr>
        <w:t>）</w:t>
      </w:r>
    </w:p>
    <w:p>
      <w:pPr>
        <w:spacing w:line="440" w:lineRule="exact"/>
        <w:rPr>
          <w:rFonts w:ascii="Times New Roman" w:hAnsi="Times New Roman"/>
        </w:rPr>
      </w:pPr>
    </w:p>
    <w:p>
      <w:pPr>
        <w:spacing w:line="440" w:lineRule="exact"/>
        <w:ind w:firstLine="4620" w:firstLineChars="2200"/>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eastAsia="黑体"/>
          <w:sz w:val="20"/>
        </w:rPr>
      </w:pPr>
    </w:p>
    <w:p>
      <w:pPr>
        <w:spacing w:line="440" w:lineRule="exact"/>
        <w:jc w:val="center"/>
        <w:rPr>
          <w:rFonts w:ascii="Times New Roman" w:hAnsi="Times New Roman" w:eastAsia="黑体"/>
          <w:sz w:val="20"/>
        </w:rPr>
      </w:pPr>
      <w:r>
        <w:rPr>
          <w:rFonts w:ascii="Times New Roman" w:hAnsi="Times New Roman" w:eastAsia="黑体"/>
          <w:sz w:val="20"/>
        </w:rPr>
        <w:br w:type="page"/>
      </w:r>
    </w:p>
    <w:p>
      <w:pPr>
        <w:pStyle w:val="7"/>
        <w:jc w:val="center"/>
        <w:rPr>
          <w:rFonts w:ascii="Times New Roman" w:hAnsi="Times New Roman"/>
        </w:rPr>
      </w:pPr>
      <w:r>
        <w:rPr>
          <w:rFonts w:hint="eastAsia" w:ascii="Times New Roman" w:hAnsi="Times New Roman"/>
        </w:rPr>
        <w:t>三、授权委托书</w:t>
      </w:r>
    </w:p>
    <w:p>
      <w:pPr>
        <w:spacing w:line="440" w:lineRule="exact"/>
        <w:rPr>
          <w:rFonts w:ascii="Times New Roman" w:hAnsi="Times New Roman" w:eastAsia="黑体"/>
        </w:rPr>
      </w:pPr>
    </w:p>
    <w:p>
      <w:pPr>
        <w:topLinePunct/>
        <w:spacing w:line="440" w:lineRule="exact"/>
        <w:ind w:firstLine="420" w:firstLineChars="200"/>
        <w:rPr>
          <w:rFonts w:ascii="Times New Roman" w:hAnsi="Times New Roman"/>
        </w:rPr>
      </w:pPr>
      <w:r>
        <w:rPr>
          <w:rFonts w:ascii="Times New Roman" w:hAnsi="Times New Roman"/>
        </w:rPr>
        <w:t>本人</w:t>
      </w:r>
      <w:r>
        <w:rPr>
          <w:rFonts w:ascii="Times New Roman" w:hAnsi="Times New Roman"/>
          <w:u w:val="single"/>
        </w:rPr>
        <w:t xml:space="preserve">              </w:t>
      </w:r>
      <w:r>
        <w:rPr>
          <w:rFonts w:ascii="Times New Roman" w:hAnsi="Times New Roman"/>
        </w:rPr>
        <w:t>（姓名）系</w:t>
      </w:r>
      <w:r>
        <w:rPr>
          <w:rFonts w:ascii="Times New Roman" w:hAnsi="Times New Roman"/>
          <w:u w:val="single"/>
        </w:rPr>
        <w:t xml:space="preserve">                    </w:t>
      </w:r>
      <w:r>
        <w:rPr>
          <w:rFonts w:ascii="Times New Roman" w:hAnsi="Times New Roman"/>
        </w:rPr>
        <w:t>（投标人名称）的法定代表人，现委托</w:t>
      </w:r>
      <w:r>
        <w:rPr>
          <w:rFonts w:ascii="Times New Roman" w:hAnsi="Times New Roman"/>
          <w:u w:val="single"/>
        </w:rPr>
        <w:t xml:space="preserve">            </w:t>
      </w:r>
      <w:r>
        <w:rPr>
          <w:rFonts w:ascii="Times New Roman" w:hAnsi="Times New Roman"/>
        </w:rPr>
        <w:t>（姓名）为我方代理人。代理人根据授权，以我方名义签署、澄清确认、递交、撤回、修改</w:t>
      </w:r>
      <w:r>
        <w:rPr>
          <w:rFonts w:hint="eastAsia" w:ascii="Times New Roman" w:hAnsi="Times New Roman"/>
        </w:rPr>
        <w:t>本项目</w:t>
      </w:r>
      <w:r>
        <w:rPr>
          <w:rFonts w:ascii="Times New Roman" w:hAnsi="Times New Roman"/>
        </w:rPr>
        <w:t>投标文件、签订合同和处理有关事宜，其法律后果由我方承担。</w:t>
      </w:r>
    </w:p>
    <w:p>
      <w:pPr>
        <w:spacing w:line="440" w:lineRule="exact"/>
        <w:rPr>
          <w:rFonts w:ascii="Times New Roman" w:hAnsi="Times New Roman"/>
        </w:rPr>
      </w:pPr>
      <w:r>
        <w:rPr>
          <w:rFonts w:ascii="Times New Roman" w:hAnsi="Times New Roman"/>
        </w:rPr>
        <w:t>委托期限：</w:t>
      </w:r>
      <w:r>
        <w:rPr>
          <w:rFonts w:ascii="Times New Roman" w:hAnsi="Times New Roman"/>
          <w:u w:val="single"/>
        </w:rPr>
        <w:t xml:space="preserve">                       </w:t>
      </w:r>
      <w:r>
        <w:rPr>
          <w:rFonts w:ascii="Times New Roman" w:hAnsi="Times New Roman"/>
        </w:rPr>
        <w:t>。</w:t>
      </w:r>
    </w:p>
    <w:p>
      <w:pPr>
        <w:spacing w:line="440" w:lineRule="exact"/>
        <w:ind w:firstLine="420" w:firstLineChars="200"/>
        <w:rPr>
          <w:rFonts w:ascii="Times New Roman" w:hAnsi="Times New Roman"/>
        </w:rPr>
      </w:pPr>
      <w:r>
        <w:rPr>
          <w:rFonts w:ascii="Times New Roman" w:hAnsi="Times New Roman"/>
        </w:rPr>
        <w:t>代理人无转委托权。</w:t>
      </w:r>
    </w:p>
    <w:p>
      <w:pPr>
        <w:spacing w:line="440" w:lineRule="exact"/>
        <w:ind w:firstLine="420" w:firstLineChars="200"/>
        <w:rPr>
          <w:rFonts w:ascii="Times New Roman" w:hAnsi="Times New Roman"/>
        </w:rPr>
      </w:pPr>
    </w:p>
    <w:p>
      <w:pPr>
        <w:spacing w:line="440" w:lineRule="exact"/>
        <w:rPr>
          <w:rFonts w:ascii="Times New Roman" w:hAnsi="Times New Roman"/>
        </w:rPr>
      </w:pPr>
      <w:r>
        <w:rPr>
          <w:rFonts w:ascii="Times New Roman" w:hAnsi="Times New Roman"/>
        </w:rPr>
        <w:t>附：法定代表人身份证复印件及委托代理人身份证复印件</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注：本授权委托书需由投标人加盖单位公章并由其法定代表人和委托代理人签字。</w:t>
      </w:r>
    </w:p>
    <w:p>
      <w:pPr>
        <w:spacing w:line="440" w:lineRule="exact"/>
        <w:rPr>
          <w:rFonts w:ascii="Times New Roman" w:hAnsi="Times New Roman"/>
        </w:rPr>
      </w:pPr>
    </w:p>
    <w:p>
      <w:pPr>
        <w:spacing w:line="440" w:lineRule="exact"/>
        <w:jc w:val="left"/>
        <w:rPr>
          <w:rFonts w:ascii="Times New Roman" w:hAnsi="Times New Roman"/>
        </w:rPr>
      </w:pPr>
      <w:r>
        <w:rPr>
          <w:rFonts w:ascii="Times New Roman" w:hAnsi="Times New Roman"/>
        </w:rPr>
        <w:t>投  标  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w:t>
      </w:r>
      <w:r>
        <w:rPr>
          <w:rFonts w:hint="eastAsia" w:ascii="Times New Roman" w:hAnsi="Times New Roman"/>
        </w:rPr>
        <w:t>盖</w:t>
      </w:r>
      <w:r>
        <w:rPr>
          <w:rFonts w:ascii="Times New Roman" w:hAnsi="Times New Roman"/>
        </w:rPr>
        <w:t>单位</w:t>
      </w:r>
      <w:r>
        <w:rPr>
          <w:rFonts w:hint="eastAsia" w:ascii="Times New Roman" w:hAnsi="Times New Roman"/>
        </w:rPr>
        <w:t>章</w:t>
      </w:r>
      <w:r>
        <w:rPr>
          <w:rFonts w:ascii="Times New Roman" w:hAnsi="Times New Roman"/>
        </w:rPr>
        <w:t>）</w:t>
      </w:r>
    </w:p>
    <w:p>
      <w:pPr>
        <w:spacing w:line="440" w:lineRule="exact"/>
        <w:ind w:firstLine="2692" w:firstLineChars="1282"/>
        <w:jc w:val="left"/>
        <w:rPr>
          <w:rFonts w:ascii="Times New Roman" w:hAnsi="Times New Roman"/>
        </w:rPr>
      </w:pPr>
    </w:p>
    <w:p>
      <w:pPr>
        <w:spacing w:line="440" w:lineRule="exact"/>
        <w:jc w:val="left"/>
        <w:rPr>
          <w:rFonts w:ascii="Times New Roman" w:hAnsi="Times New Roman"/>
        </w:rPr>
      </w:pPr>
      <w:r>
        <w:rPr>
          <w:rFonts w:ascii="Times New Roman" w:hAnsi="Times New Roman"/>
        </w:rPr>
        <w:t>法定代表人：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（签字）</w:t>
      </w:r>
    </w:p>
    <w:p>
      <w:pPr>
        <w:spacing w:line="440" w:lineRule="exact"/>
        <w:ind w:firstLine="2692" w:firstLineChars="1282"/>
        <w:jc w:val="left"/>
        <w:rPr>
          <w:rFonts w:ascii="Times New Roman" w:hAnsi="Times New Roman"/>
        </w:rPr>
      </w:pPr>
    </w:p>
    <w:p>
      <w:pPr>
        <w:spacing w:line="440" w:lineRule="exact"/>
        <w:jc w:val="left"/>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jc w:val="left"/>
        <w:rPr>
          <w:rFonts w:ascii="Times New Roman" w:hAnsi="Times New Roman"/>
        </w:rPr>
      </w:pPr>
    </w:p>
    <w:p>
      <w:pPr>
        <w:spacing w:line="440" w:lineRule="exact"/>
        <w:jc w:val="left"/>
        <w:rPr>
          <w:rFonts w:ascii="Times New Roman" w:hAnsi="Times New Roman"/>
        </w:rPr>
      </w:pPr>
      <w:r>
        <w:rPr>
          <w:rFonts w:ascii="Times New Roman" w:hAnsi="Times New Roman"/>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（签字）</w:t>
      </w:r>
    </w:p>
    <w:p>
      <w:pPr>
        <w:spacing w:line="440" w:lineRule="exact"/>
        <w:ind w:firstLine="2692" w:firstLineChars="1282"/>
        <w:jc w:val="left"/>
        <w:rPr>
          <w:rFonts w:ascii="Times New Roman" w:hAnsi="Times New Roman"/>
        </w:rPr>
      </w:pPr>
    </w:p>
    <w:p>
      <w:pPr>
        <w:spacing w:line="440" w:lineRule="exact"/>
        <w:jc w:val="left"/>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jc w:val="left"/>
        <w:rPr>
          <w:rFonts w:ascii="Times New Roman" w:hAnsi="Times New Roman"/>
        </w:rPr>
      </w:pPr>
    </w:p>
    <w:p>
      <w:pPr>
        <w:spacing w:line="440" w:lineRule="exact"/>
        <w:ind w:firstLine="2692" w:firstLineChars="1282"/>
        <w:jc w:val="left"/>
        <w:rPr>
          <w:rFonts w:ascii="Times New Roman" w:hAnsi="Times New Roman"/>
        </w:rPr>
      </w:pPr>
    </w:p>
    <w:p>
      <w:pPr>
        <w:spacing w:line="440" w:lineRule="exact"/>
        <w:ind w:firstLine="4057" w:firstLineChars="1932"/>
        <w:jc w:val="lef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057" w:firstLineChars="1932"/>
        <w:jc w:val="right"/>
        <w:rPr>
          <w:rFonts w:ascii="Times New Roman" w:hAnsi="Times New Roman"/>
        </w:rPr>
      </w:pPr>
      <w:r>
        <w:rPr>
          <w:rFonts w:ascii="Times New Roman" w:hAnsi="Times New Roman"/>
        </w:rPr>
        <w:br w:type="page"/>
      </w:r>
    </w:p>
    <w:p>
      <w:pPr>
        <w:topLinePunct/>
        <w:spacing w:line="440" w:lineRule="exact"/>
        <w:ind w:firstLine="4116" w:firstLineChars="1960"/>
        <w:rPr>
          <w:rFonts w:ascii="Times New Roman" w:hAnsi="Times New Roman"/>
        </w:rPr>
      </w:pPr>
    </w:p>
    <w:p>
      <w:pPr>
        <w:pStyle w:val="7"/>
        <w:jc w:val="center"/>
        <w:rPr>
          <w:rFonts w:hint="eastAsia" w:ascii="Times New Roman" w:hAnsi="Times New Roman"/>
          <w:color w:val="auto"/>
        </w:rPr>
      </w:pPr>
      <w:bookmarkStart w:id="507" w:name="_Toc56856967"/>
      <w:r>
        <w:rPr>
          <w:rFonts w:hint="eastAsia" w:ascii="Times New Roman" w:hAnsi="Times New Roman"/>
          <w:color w:val="auto"/>
        </w:rPr>
        <w:t>四</w:t>
      </w:r>
      <w:r>
        <w:rPr>
          <w:rFonts w:ascii="Times New Roman" w:hAnsi="Times New Roman"/>
          <w:color w:val="auto"/>
        </w:rPr>
        <w:t>、</w:t>
      </w:r>
      <w:r>
        <w:rPr>
          <w:rFonts w:hint="eastAsia" w:ascii="Times New Roman" w:hAnsi="Times New Roman"/>
          <w:color w:val="auto"/>
        </w:rPr>
        <w:t>投标报价明细</w:t>
      </w:r>
      <w:bookmarkEnd w:id="507"/>
    </w:p>
    <w:p>
      <w:pPr>
        <w:rPr>
          <w:rFonts w:hint="default" w:eastAsia="宋体"/>
          <w:sz w:val="28"/>
          <w:szCs w:val="32"/>
          <w:lang w:val="en-US" w:eastAsia="zh-CN"/>
        </w:rPr>
      </w:pPr>
      <w:r>
        <w:rPr>
          <w:rFonts w:hint="eastAsia"/>
          <w:sz w:val="28"/>
          <w:szCs w:val="32"/>
          <w:lang w:val="en-US" w:eastAsia="zh-CN"/>
        </w:rPr>
        <w:t>项目名称：2026年度江碧环保科技创新产业园-工业废水集中处理厂废水处理普通药剂采购项目（第二次）</w:t>
      </w:r>
    </w:p>
    <w:p>
      <w:pPr>
        <w:rPr>
          <w:color w:val="auto"/>
        </w:rPr>
      </w:pPr>
      <w:bookmarkStart w:id="508" w:name="_Toc361508760"/>
    </w:p>
    <w:tbl>
      <w:tblPr>
        <w:tblStyle w:val="43"/>
        <w:tblW w:w="10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239"/>
        <w:gridCol w:w="786"/>
        <w:gridCol w:w="1019"/>
        <w:gridCol w:w="1471"/>
        <w:gridCol w:w="1100"/>
        <w:gridCol w:w="909"/>
        <w:gridCol w:w="1159"/>
        <w:gridCol w:w="1159"/>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bookmarkStart w:id="509" w:name="_Toc54362007"/>
            <w:bookmarkStart w:id="510" w:name="_Toc48224305"/>
            <w:bookmarkStart w:id="511" w:name="_Toc48224191"/>
            <w:bookmarkStart w:id="512" w:name="_Toc89485711"/>
            <w:bookmarkStart w:id="513" w:name="_Toc41170786"/>
            <w:bookmarkStart w:id="514" w:name="_Toc55490363"/>
            <w:bookmarkStart w:id="515" w:name="_Toc300920682"/>
            <w:bookmarkStart w:id="516" w:name="_Toc483379789"/>
            <w:bookmarkStart w:id="517" w:name="_Toc488936094"/>
            <w:bookmarkStart w:id="518" w:name="_Toc92694087"/>
            <w:bookmarkStart w:id="519" w:name="_Toc41170931"/>
            <w:bookmarkStart w:id="520" w:name="_Toc300920008"/>
            <w:r>
              <w:rPr>
                <w:rFonts w:hint="eastAsia" w:ascii="宋体" w:hAnsi="宋体" w:eastAsia="宋体" w:cs="宋体"/>
                <w:b/>
                <w:bCs/>
                <w:i w:val="0"/>
                <w:iCs w:val="0"/>
                <w:snapToGrid w:val="0"/>
                <w:color w:val="000000"/>
                <w:kern w:val="0"/>
                <w:sz w:val="18"/>
                <w:szCs w:val="18"/>
                <w:u w:val="none"/>
                <w:lang w:val="en-US" w:eastAsia="zh-CN" w:bidi="ar"/>
              </w:rPr>
              <w:t>序号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药剂名称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药剂形态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浓度</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包装规格</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单价上限</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预计购买量</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投标单价（元/吨）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4588"/>
                <w:tab w:val="left" w:pos="5664"/>
              </w:tabs>
              <w:spacing w:line="240" w:lineRule="auto"/>
              <w:ind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r>
              <w:rPr>
                <w:rFonts w:hint="eastAsia" w:ascii="宋体" w:hAnsi="宋体" w:eastAsia="宋体" w:cs="宋体"/>
                <w:b/>
                <w:bCs/>
                <w:i w:val="0"/>
                <w:iCs w:val="0"/>
                <w:snapToGrid w:val="0"/>
                <w:color w:val="000000"/>
                <w:kern w:val="0"/>
                <w:sz w:val="18"/>
                <w:szCs w:val="18"/>
                <w:u w:val="none"/>
                <w:lang w:val="en-US" w:eastAsia="zh-CN" w:bidi="ar"/>
              </w:rPr>
              <w:tab/>
            </w:r>
            <w:r>
              <w:rPr>
                <w:rFonts w:hint="eastAsia" w:ascii="宋体" w:hAnsi="宋体" w:eastAsia="宋体" w:cs="宋体"/>
                <w:b/>
                <w:bCs/>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1483.5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4400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饮用水级聚合氯化铝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氧化铝含量≥</w:t>
            </w: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799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聚合氯化铝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21-23%</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1648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双氧水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27.5%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700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焦亚硫酸钠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1237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焦亚硫酸钠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97%</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3017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140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片碱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4581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50%工业硫酸</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991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葡萄糖</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1685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葡萄糖</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食品级</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4743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聚丙烯酰胺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（日本三井PAM）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28510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硫酸亚铁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476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硫酸亚铁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1000Kg/</w:t>
            </w:r>
            <w:r>
              <w:rPr>
                <w:rFonts w:hint="eastAsia" w:ascii="宋体" w:hAnsi="宋体" w:eastAsia="宋体" w:cs="宋体"/>
                <w:i w:val="0"/>
                <w:iCs w:val="0"/>
                <w:snapToGrid w:val="0"/>
                <w:color w:val="000000"/>
                <w:kern w:val="0"/>
                <w:sz w:val="18"/>
                <w:szCs w:val="18"/>
                <w:u w:val="none"/>
                <w:lang w:val="en-US" w:eastAsia="zh-CN" w:bidi="ar"/>
              </w:rPr>
              <w:t>袋，</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985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次氯酸钠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有效氯≥</w:t>
            </w: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689.5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螯合碱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有效碱含量≥</w:t>
            </w:r>
            <w:r>
              <w:rPr>
                <w:rFonts w:hint="default" w:ascii="Times New Roman" w:hAnsi="Times New Roman" w:eastAsia="宋体" w:cs="Times New Roman"/>
                <w:i w:val="0"/>
                <w:iCs w:val="0"/>
                <w:snapToGrid w:val="0"/>
                <w:color w:val="000000"/>
                <w:kern w:val="0"/>
                <w:sz w:val="18"/>
                <w:szCs w:val="18"/>
                <w:u w:val="none"/>
                <w:lang w:val="en-US" w:eastAsia="zh-CN" w:bidi="ar"/>
              </w:rPr>
              <w:t>99%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1000Kg/</w:t>
            </w:r>
            <w:r>
              <w:rPr>
                <w:rFonts w:hint="eastAsia" w:ascii="宋体" w:hAnsi="宋体" w:eastAsia="宋体" w:cs="宋体"/>
                <w:i w:val="0"/>
                <w:iCs w:val="0"/>
                <w:snapToGrid w:val="0"/>
                <w:color w:val="000000"/>
                <w:kern w:val="0"/>
                <w:sz w:val="18"/>
                <w:szCs w:val="18"/>
                <w:u w:val="none"/>
                <w:lang w:val="en-US" w:eastAsia="zh-CN" w:bidi="ar"/>
              </w:rPr>
              <w:t>袋，</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969.5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石灰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180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复合碱</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包（牛皮纸），</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949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亚硫酸氢钠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1531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19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亚硫酸氢钠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65%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2778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硫化钠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硫化钠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2507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氯化钙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432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640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氯化钙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74%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1125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盐酸</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吨桶，30吨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1063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盐酸</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面粉</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食品级</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4228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补碳剂</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COD≥30万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905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尿素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固定</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总氮含量≥46%</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2637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29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磷肥</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总磷含量≥</w:t>
            </w: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4309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碳酸钠</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2558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31</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聚合硫酸铁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全铁含量≥</w:t>
            </w: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槽车，30吨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640.5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聚合硫酸铁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全铁含量≥</w:t>
            </w:r>
            <w:r>
              <w:rPr>
                <w:rFonts w:hint="default" w:ascii="Times New Roman" w:hAnsi="Times New Roman" w:eastAsia="宋体" w:cs="Times New Roman"/>
                <w:i w:val="0"/>
                <w:iCs w:val="0"/>
                <w:snapToGrid w:val="0"/>
                <w:color w:val="000000"/>
                <w:kern w:val="0"/>
                <w:sz w:val="18"/>
                <w:szCs w:val="18"/>
                <w:u w:val="none"/>
                <w:lang w:val="en-US" w:eastAsia="zh-CN" w:bidi="ar"/>
              </w:rPr>
              <w:t>19.5%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1921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40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33</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六水氯化铝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吨桶，30吨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1270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六水氯化铝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3299</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柠檬酸</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固体</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99.5%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包，</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6324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36</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消泡剂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液态</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20%非硅</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25Kg/</w:t>
            </w:r>
            <w:r>
              <w:rPr>
                <w:rFonts w:hint="eastAsia" w:ascii="宋体" w:hAnsi="宋体" w:eastAsia="宋体" w:cs="宋体"/>
                <w:i w:val="0"/>
                <w:iCs w:val="0"/>
                <w:snapToGrid w:val="0"/>
                <w:color w:val="000000"/>
                <w:kern w:val="0"/>
                <w:sz w:val="18"/>
                <w:szCs w:val="18"/>
                <w:u w:val="none"/>
                <w:lang w:val="en-US" w:eastAsia="zh-CN" w:bidi="ar"/>
              </w:rPr>
              <w:t>桶，</w:t>
            </w:r>
            <w:r>
              <w:rPr>
                <w:rFonts w:hint="default" w:ascii="Times New Roman" w:hAnsi="Times New Roman" w:eastAsia="宋体" w:cs="Times New Roman"/>
                <w:i w:val="0"/>
                <w:iCs w:val="0"/>
                <w:snapToGrid w:val="0"/>
                <w:color w:val="000000"/>
                <w:kern w:val="0"/>
                <w:sz w:val="18"/>
                <w:szCs w:val="18"/>
                <w:u w:val="none"/>
                <w:lang w:val="en-US" w:eastAsia="zh-CN" w:bidi="ar"/>
              </w:rPr>
              <w:t>1-10</w:t>
            </w:r>
            <w:r>
              <w:rPr>
                <w:rFonts w:hint="eastAsia" w:ascii="宋体" w:hAnsi="宋体" w:eastAsia="宋体" w:cs="宋体"/>
                <w:i w:val="0"/>
                <w:iCs w:val="0"/>
                <w:snapToGrid w:val="0"/>
                <w:color w:val="000000"/>
                <w:kern w:val="0"/>
                <w:sz w:val="18"/>
                <w:szCs w:val="18"/>
                <w:u w:val="none"/>
                <w:lang w:val="en-US" w:eastAsia="zh-CN" w:bidi="ar"/>
              </w:rPr>
              <w:t>吨</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6846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PH校正液4</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38</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PH校正液7</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85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39</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PH校正液10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96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40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ORP校正液240MV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0"/>
                <w:szCs w:val="10"/>
                <w:u w:val="none"/>
                <w:lang w:bidi="ar"/>
              </w:rPr>
            </w:pPr>
            <w:r>
              <w:rPr>
                <w:rFonts w:hint="eastAsia" w:ascii="宋体" w:hAnsi="宋体" w:eastAsia="宋体" w:cs="宋体"/>
                <w:b/>
                <w:bCs/>
                <w:i w:val="0"/>
                <w:iCs w:val="0"/>
                <w:snapToGrid w:val="0"/>
                <w:color w:val="000000"/>
                <w:kern w:val="0"/>
                <w:sz w:val="18"/>
                <w:szCs w:val="18"/>
                <w:u w:val="none"/>
                <w:lang w:val="en-US" w:eastAsia="zh-CN" w:bidi="ar"/>
              </w:rPr>
              <w:t>41</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ORP校正液470MV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default" w:ascii="Times New Roman" w:hAnsi="Times New Roman" w:eastAsia="宋体" w:cs="Times New Roman"/>
                <w:i w:val="0"/>
                <w:iCs w:val="0"/>
                <w:snapToGrid w:val="0"/>
                <w:color w:val="000000"/>
                <w:kern w:val="0"/>
                <w:sz w:val="18"/>
                <w:szCs w:val="18"/>
                <w:u w:val="none"/>
                <w:lang w:val="en-US" w:eastAsia="zh-CN" w:bidi="ar"/>
              </w:rPr>
              <w:t>500m1/瓶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251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r>
              <w:rPr>
                <w:rFonts w:hint="eastAsia" w:ascii="宋体" w:hAnsi="宋体" w:eastAsia="宋体" w:cs="宋体"/>
                <w:i w:val="0"/>
                <w:iCs w:val="0"/>
                <w:snapToGrid w:val="0"/>
                <w:color w:val="000000"/>
                <w:kern w:val="0"/>
                <w:sz w:val="18"/>
                <w:szCs w:val="18"/>
                <w:u w:val="none"/>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lang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8212"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宋体" w:hAnsi="宋体" w:eastAsia="宋体" w:cs="宋体"/>
                <w:b/>
                <w:bCs/>
                <w:i w:val="0"/>
                <w:iCs w:val="0"/>
                <w:snapToGrid w:val="0"/>
                <w:color w:val="000000"/>
                <w:sz w:val="40"/>
                <w:szCs w:val="40"/>
                <w:u w:val="none"/>
                <w:lang w:val="en-US" w:eastAsia="zh-CN" w:bidi="ar"/>
              </w:rPr>
            </w:pPr>
            <w:r>
              <w:rPr>
                <w:rFonts w:hint="eastAsia" w:ascii="宋体" w:hAnsi="宋体" w:eastAsia="宋体" w:cs="宋体"/>
                <w:b/>
                <w:bCs/>
                <w:i w:val="0"/>
                <w:iCs w:val="0"/>
                <w:snapToGrid w:val="0"/>
                <w:color w:val="000000"/>
                <w:sz w:val="36"/>
                <w:szCs w:val="36"/>
                <w:u w:val="none"/>
                <w:lang w:val="en-US" w:eastAsia="zh-CN" w:bidi="ar"/>
              </w:rPr>
              <w:t>总价（元）</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bidi="ar"/>
              </w:rPr>
            </w:pP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lang w:bidi="ar"/>
              </w:rPr>
            </w:pPr>
          </w:p>
        </w:tc>
      </w:tr>
    </w:tbl>
    <w:p>
      <w:pPr>
        <w:topLinePunct/>
        <w:adjustRightInd w:val="0"/>
        <w:snapToGrid w:val="0"/>
        <w:spacing w:line="360" w:lineRule="auto"/>
        <w:ind w:firstLine="420" w:firstLineChars="200"/>
        <w:rPr>
          <w:rFonts w:hint="eastAsia" w:ascii="宋体" w:hAnsi="宋体" w:eastAsia="宋体" w:cs="宋体"/>
          <w:color w:val="auto"/>
          <w:kern w:val="0"/>
          <w:szCs w:val="21"/>
          <w:highlight w:val="none"/>
          <w:lang w:val="en-US" w:eastAsia="zh-CN"/>
        </w:rPr>
      </w:pPr>
    </w:p>
    <w:bookmarkEnd w:id="509"/>
    <w:bookmarkEnd w:id="510"/>
    <w:bookmarkEnd w:id="511"/>
    <w:bookmarkEnd w:id="512"/>
    <w:bookmarkEnd w:id="513"/>
    <w:bookmarkEnd w:id="514"/>
    <w:bookmarkEnd w:id="515"/>
    <w:bookmarkEnd w:id="516"/>
    <w:bookmarkEnd w:id="517"/>
    <w:bookmarkEnd w:id="518"/>
    <w:bookmarkEnd w:id="519"/>
    <w:bookmarkEnd w:id="520"/>
    <w:p>
      <w:pPr>
        <w:spacing w:after="0"/>
        <w:jc w:val="center"/>
        <w:rPr>
          <w:rFonts w:hint="eastAsia" w:ascii="Times New Roman" w:hAnsi="Times New Roman"/>
        </w:rPr>
      </w:pPr>
      <w:bookmarkStart w:id="521" w:name="_Toc56856975"/>
    </w:p>
    <w:p>
      <w:pPr>
        <w:spacing w:after="0"/>
        <w:jc w:val="center"/>
        <w:rPr>
          <w:rFonts w:hint="eastAsia" w:ascii="Times New Roman" w:hAnsi="Times New Roman"/>
        </w:rPr>
      </w:pPr>
    </w:p>
    <w:p>
      <w:pPr>
        <w:spacing w:after="0"/>
        <w:jc w:val="center"/>
        <w:rPr>
          <w:rFonts w:hint="eastAsia" w:ascii="Times New Roman" w:hAnsi="Times New Roman"/>
        </w:rPr>
      </w:pPr>
    </w:p>
    <w:p>
      <w:pPr>
        <w:spacing w:after="0"/>
        <w:jc w:val="center"/>
        <w:rPr>
          <w:rFonts w:ascii="Times New Roman" w:hAnsi="Times New Roman"/>
        </w:rPr>
      </w:pPr>
      <w:r>
        <w:rPr>
          <w:rFonts w:hint="eastAsia" w:ascii="Times New Roman" w:hAnsi="Times New Roman"/>
        </w:rPr>
        <w:br w:type="page"/>
      </w:r>
    </w:p>
    <w:p>
      <w:pPr>
        <w:pStyle w:val="7"/>
        <w:spacing w:after="0"/>
        <w:jc w:val="center"/>
        <w:rPr>
          <w:rFonts w:ascii="Times New Roman" w:hAnsi="Times New Roman"/>
        </w:rPr>
      </w:pPr>
      <w:r>
        <w:rPr>
          <w:rFonts w:hint="eastAsia" w:ascii="Times New Roman" w:hAnsi="Times New Roman"/>
        </w:rPr>
        <w:t>五、资格审查资料</w:t>
      </w:r>
      <w:bookmarkEnd w:id="521"/>
    </w:p>
    <w:p>
      <w:pPr>
        <w:pStyle w:val="8"/>
        <w:spacing w:before="20" w:after="0"/>
        <w:ind w:firstLine="137"/>
        <w:rPr>
          <w:rFonts w:ascii="Times New Roman" w:hAnsi="Times New Roman"/>
        </w:rPr>
      </w:pPr>
      <w:bookmarkStart w:id="522" w:name="_Toc56856976"/>
      <w:r>
        <w:rPr>
          <w:rFonts w:hint="eastAsia" w:ascii="Times New Roman" w:hAnsi="Times New Roman"/>
        </w:rPr>
        <w:t>（一）基本情况表</w:t>
      </w:r>
      <w:bookmarkEnd w:id="522"/>
    </w:p>
    <w:tbl>
      <w:tblPr>
        <w:tblStyle w:val="43"/>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w:t>
            </w:r>
            <w:r>
              <w:rPr>
                <w:rFonts w:ascii="Times New Roman" w:hAnsi="Times New Roman"/>
              </w:rPr>
              <w:t xml:space="preserve"> </w:t>
            </w:r>
            <w:r>
              <w:rPr>
                <w:rFonts w:hint="eastAsia" w:ascii="Times New Roman" w:hAnsi="Times New Roman"/>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传</w:t>
            </w:r>
            <w:r>
              <w:rPr>
                <w:rFonts w:ascii="Times New Roman" w:hAnsi="Times New Roman"/>
              </w:rPr>
              <w:t xml:space="preserve">  </w:t>
            </w:r>
            <w:r>
              <w:rPr>
                <w:rFonts w:hint="eastAsia" w:ascii="Times New Roman" w:hAnsi="Times New Roman"/>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网</w:t>
            </w:r>
            <w:r>
              <w:rPr>
                <w:rFonts w:ascii="Times New Roman" w:hAnsi="Times New Roman"/>
              </w:rPr>
              <w:t xml:space="preserve"> </w:t>
            </w:r>
            <w:r>
              <w:rPr>
                <w:rFonts w:hint="eastAsia" w:ascii="Times New Roman" w:hAnsi="Times New Roman"/>
              </w:rPr>
              <w:t>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rPr>
            </w:pPr>
            <w:r>
              <w:rPr>
                <w:rFonts w:hint="eastAsia" w:ascii="Times New Roman" w:hAnsi="Times New Roman"/>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bl>
    <w:p>
      <w:pPr>
        <w:spacing w:line="440" w:lineRule="exact"/>
        <w:rPr>
          <w:rFonts w:ascii="Times New Roman" w:hAnsi="Times New Roman"/>
          <w:u w:val="single"/>
        </w:rPr>
      </w:pPr>
    </w:p>
    <w:p>
      <w:pPr>
        <w:topLinePunct/>
        <w:spacing w:line="440" w:lineRule="exact"/>
        <w:ind w:firstLine="400" w:firstLineChars="200"/>
        <w:rPr>
          <w:rFonts w:ascii="Times New Roman" w:hAnsi="Times New Roman"/>
          <w:sz w:val="20"/>
        </w:rPr>
      </w:pPr>
    </w:p>
    <w:p>
      <w:pPr>
        <w:spacing w:line="440" w:lineRule="exact"/>
        <w:rPr>
          <w:rFonts w:ascii="Times New Roman" w:hAnsi="Times New Roman"/>
        </w:rPr>
      </w:pPr>
      <w:r>
        <w:rPr>
          <w:rFonts w:ascii="Times New Roman" w:hAnsi="Times New Roman"/>
        </w:rPr>
        <w:br w:type="page"/>
      </w:r>
    </w:p>
    <w:bookmarkEnd w:id="508"/>
    <w:p>
      <w:pPr>
        <w:pStyle w:val="8"/>
        <w:spacing w:before="20" w:after="0"/>
        <w:ind w:firstLine="137" w:firstLineChars="0"/>
        <w:rPr>
          <w:rFonts w:hint="eastAsia" w:ascii="Times New Roman" w:hAnsi="Times New Roman"/>
        </w:rPr>
      </w:pPr>
      <w:bookmarkStart w:id="523" w:name="_Toc56856977"/>
      <w:r>
        <w:rPr>
          <w:rFonts w:hint="eastAsia" w:ascii="Times New Roman" w:hAnsi="Times New Roman"/>
        </w:rPr>
        <w:t>（二）营业执照复印件</w:t>
      </w:r>
      <w:bookmarkEnd w:id="523"/>
    </w:p>
    <w:p>
      <w:pPr>
        <w:spacing w:before="20" w:after="0"/>
        <w:ind w:firstLineChars="0"/>
        <w:outlineLvl w:val="9"/>
        <w:rPr>
          <w:rFonts w:hint="eastAsia" w:ascii="Times New Roman" w:hAnsi="Times New Roman"/>
        </w:rPr>
      </w:pPr>
    </w:p>
    <w:p>
      <w:pPr>
        <w:pStyle w:val="8"/>
        <w:spacing w:before="20" w:after="0"/>
        <w:ind w:firstLine="137" w:firstLineChars="0"/>
        <w:rPr>
          <w:rFonts w:hint="eastAsia" w:ascii="Times New Roman" w:hAnsi="Times New Roman"/>
        </w:rPr>
      </w:pPr>
      <w:bookmarkStart w:id="524" w:name="_Toc56856978"/>
      <w:bookmarkStart w:id="525" w:name="_Toc482188667"/>
      <w:r>
        <w:rPr>
          <w:rFonts w:hint="eastAsia" w:ascii="Times New Roman" w:hAnsi="Times New Roman"/>
          <w:lang w:val="en-US" w:eastAsia="zh-CN"/>
        </w:rPr>
        <w:t>（三）危险化学品的经营许可证</w:t>
      </w:r>
      <w:bookmarkEnd w:id="524"/>
    </w:p>
    <w:p>
      <w:pPr>
        <w:spacing w:before="20" w:after="0"/>
        <w:ind w:firstLineChars="0"/>
        <w:outlineLvl w:val="9"/>
        <w:rPr>
          <w:rFonts w:hint="eastAsia" w:ascii="Times New Roman" w:hAnsi="Times New Roman"/>
        </w:rPr>
      </w:pPr>
    </w:p>
    <w:p>
      <w:pPr>
        <w:pStyle w:val="8"/>
        <w:spacing w:before="20" w:after="0"/>
        <w:ind w:firstLine="137"/>
        <w:rPr>
          <w:rFonts w:hint="eastAsia" w:ascii="Times New Roman" w:hAnsi="Times New Roman"/>
          <w:lang w:val="en-US" w:eastAsia="zh-CN"/>
        </w:rPr>
      </w:pPr>
      <w:r>
        <w:rPr>
          <w:rFonts w:hint="eastAsia" w:ascii="Times New Roman" w:hAnsi="Times New Roman"/>
          <w:lang w:val="en-US" w:eastAsia="zh-CN"/>
        </w:rPr>
        <w:t>（四）非药品类易制毒化学品经营备案证明</w:t>
      </w:r>
    </w:p>
    <w:p>
      <w:pPr>
        <w:rPr>
          <w:rFonts w:hint="eastAsia"/>
        </w:rPr>
      </w:pPr>
    </w:p>
    <w:p>
      <w:pPr>
        <w:pStyle w:val="8"/>
        <w:spacing w:before="20" w:after="0"/>
        <w:ind w:firstLine="137"/>
        <w:rPr>
          <w:rFonts w:hint="eastAsia" w:ascii="Times New Roman" w:hAnsi="Times New Roman" w:eastAsia="黑体"/>
          <w:lang w:val="en-US" w:eastAsia="zh-CN"/>
        </w:rPr>
      </w:pPr>
      <w:r>
        <w:rPr>
          <w:rFonts w:hint="eastAsia" w:ascii="Times New Roman" w:hAnsi="Times New Roman"/>
          <w:lang w:eastAsia="zh-CN"/>
        </w:rPr>
        <w:t>（</w:t>
      </w:r>
      <w:r>
        <w:rPr>
          <w:rFonts w:hint="eastAsia" w:ascii="Times New Roman" w:hAnsi="Times New Roman"/>
          <w:lang w:val="en-US" w:eastAsia="zh-CN"/>
        </w:rPr>
        <w:t>五）</w:t>
      </w:r>
      <w:r>
        <w:rPr>
          <w:rFonts w:hint="eastAsia" w:ascii="Times New Roman" w:hAnsi="Times New Roman"/>
        </w:rPr>
        <w:t>易制毒年度登记备案证明</w:t>
      </w:r>
    </w:p>
    <w:p>
      <w:pPr>
        <w:rPr>
          <w:rFonts w:hint="eastAsia"/>
        </w:rPr>
      </w:pPr>
    </w:p>
    <w:p>
      <w:pPr>
        <w:pStyle w:val="8"/>
        <w:spacing w:before="20" w:after="0"/>
        <w:ind w:firstLine="137"/>
        <w:rPr>
          <w:rFonts w:hint="eastAsia" w:ascii="Times New Roman" w:hAnsi="Times New Roman"/>
          <w:lang w:val="en-US" w:eastAsia="zh-CN"/>
        </w:rPr>
      </w:pPr>
      <w:r>
        <w:rPr>
          <w:rFonts w:hint="eastAsia" w:ascii="Times New Roman" w:hAnsi="Times New Roman"/>
          <w:lang w:val="en-US" w:eastAsia="zh-CN"/>
        </w:rPr>
        <w:t>（六）</w:t>
      </w:r>
      <w:r>
        <w:rPr>
          <w:rFonts w:hint="eastAsia" w:ascii="宋体" w:hAnsi="宋体"/>
          <w:color w:val="auto"/>
          <w:highlight w:val="none"/>
          <w:u w:val="none"/>
        </w:rPr>
        <w:t>投标人在2023年1月1日至投标截止时间须具有废水处理药剂供货业绩（三年中其中一年累计合同金额不小于2000万元，需提供合同、合同对应发票）</w:t>
      </w:r>
      <w:r>
        <w:rPr>
          <w:rFonts w:hint="eastAsia" w:ascii="Times New Roman" w:hAnsi="Times New Roman"/>
          <w:lang w:val="en-US" w:eastAsia="zh-CN"/>
        </w:rPr>
        <w:t>；</w:t>
      </w:r>
    </w:p>
    <w:p>
      <w:pPr>
        <w:pStyle w:val="8"/>
        <w:spacing w:before="20" w:after="0"/>
        <w:ind w:firstLine="137"/>
        <w:rPr>
          <w:rFonts w:hint="eastAsia" w:ascii="Times New Roman" w:hAnsi="Times New Roman" w:eastAsia="黑体" w:cs="Times New Roman"/>
          <w:color w:val="auto"/>
          <w:kern w:val="2"/>
          <w:sz w:val="28"/>
          <w:szCs w:val="20"/>
        </w:rPr>
      </w:pPr>
      <w:r>
        <w:rPr>
          <w:rFonts w:hint="eastAsia" w:ascii="Times New Roman" w:hAnsi="Times New Roman" w:eastAsia="黑体" w:cs="Times New Roman"/>
          <w:kern w:val="2"/>
          <w:sz w:val="28"/>
          <w:szCs w:val="20"/>
          <w:lang w:eastAsia="zh-CN"/>
        </w:rPr>
        <w:t>（</w:t>
      </w:r>
      <w:r>
        <w:rPr>
          <w:rFonts w:hint="eastAsia" w:ascii="Times New Roman" w:hAnsi="Times New Roman" w:eastAsia="黑体" w:cs="Times New Roman"/>
          <w:kern w:val="2"/>
          <w:sz w:val="28"/>
          <w:szCs w:val="20"/>
          <w:lang w:val="en-US" w:eastAsia="zh-CN"/>
        </w:rPr>
        <w:t>七）投标人需完全满足本项目所有化学药剂供应（需提供相关证明材料）；</w:t>
      </w:r>
      <w:bookmarkStart w:id="526" w:name="_Hlk86676344"/>
    </w:p>
    <w:bookmarkEnd w:id="526"/>
    <w:p>
      <w:pPr>
        <w:rPr>
          <w:rFonts w:hint="eastAsia"/>
        </w:rPr>
      </w:pPr>
    </w:p>
    <w:p>
      <w:pPr>
        <w:pStyle w:val="8"/>
        <w:spacing w:before="20" w:after="0"/>
        <w:ind w:firstLine="137"/>
        <w:rPr>
          <w:rFonts w:hint="eastAsia" w:ascii="Times New Roman" w:hAnsi="Times New Roman"/>
          <w:lang w:val="en-US" w:eastAsia="zh-CN"/>
        </w:rPr>
      </w:pPr>
      <w:r>
        <w:rPr>
          <w:rFonts w:hint="eastAsia" w:ascii="Times New Roman" w:hAnsi="Times New Roman"/>
          <w:lang w:eastAsia="zh-CN"/>
        </w:rPr>
        <w:t>（</w:t>
      </w:r>
      <w:r>
        <w:rPr>
          <w:rFonts w:hint="eastAsia" w:ascii="Times New Roman" w:hAnsi="Times New Roman"/>
          <w:lang w:val="en-US" w:eastAsia="zh-CN"/>
        </w:rPr>
        <w:t>八）</w:t>
      </w:r>
      <w:r>
        <w:rPr>
          <w:rFonts w:hint="eastAsia" w:ascii="Times New Roman" w:hAnsi="Times New Roman"/>
        </w:rPr>
        <w:t>近三年内无行贿犯罪记录；</w:t>
      </w:r>
    </w:p>
    <w:p>
      <w:pPr>
        <w:rPr>
          <w:rFonts w:hint="eastAsia"/>
        </w:rPr>
      </w:pPr>
    </w:p>
    <w:p>
      <w:pPr>
        <w:pStyle w:val="8"/>
        <w:spacing w:before="20" w:after="0"/>
        <w:ind w:firstLine="137" w:firstLineChars="0"/>
        <w:rPr>
          <w:rFonts w:hint="eastAsia" w:ascii="Times New Roman" w:hAnsi="Times New Roman"/>
        </w:rPr>
      </w:pPr>
      <w:bookmarkStart w:id="527" w:name="_Toc56856979"/>
      <w:r>
        <w:rPr>
          <w:rFonts w:hint="eastAsia" w:ascii="Times New Roman" w:hAnsi="Times New Roman"/>
          <w:lang w:eastAsia="zh-CN"/>
        </w:rPr>
        <w:t>（</w:t>
      </w:r>
      <w:r>
        <w:rPr>
          <w:rFonts w:hint="eastAsia" w:ascii="Times New Roman" w:hAnsi="Times New Roman"/>
          <w:lang w:val="en-US" w:eastAsia="zh-CN"/>
        </w:rPr>
        <w:t>九）近三年内无安全事故（需提供信用中国-行政管理栏网站查询截图）；</w:t>
      </w:r>
    </w:p>
    <w:p>
      <w:pPr>
        <w:pStyle w:val="8"/>
        <w:spacing w:before="20" w:after="0"/>
        <w:ind w:firstLine="137" w:firstLineChars="0"/>
        <w:rPr>
          <w:rFonts w:hint="eastAsia" w:ascii="Times New Roman" w:hAnsi="Times New Roman"/>
        </w:rPr>
      </w:pPr>
      <w:r>
        <w:rPr>
          <w:rFonts w:hint="eastAsia" w:ascii="Times New Roman" w:hAnsi="Times New Roman"/>
        </w:rPr>
        <w:t>（</w:t>
      </w:r>
      <w:r>
        <w:rPr>
          <w:rFonts w:hint="eastAsia" w:ascii="Times New Roman" w:hAnsi="Times New Roman"/>
          <w:lang w:val="en-US" w:eastAsia="zh-CN"/>
        </w:rPr>
        <w:t>十</w:t>
      </w:r>
      <w:r>
        <w:rPr>
          <w:rFonts w:hint="eastAsia" w:ascii="Times New Roman" w:hAnsi="Times New Roman"/>
        </w:rPr>
        <w:t>）投标申请人声明</w:t>
      </w:r>
      <w:bookmarkEnd w:id="527"/>
      <w:r>
        <w:rPr>
          <w:rFonts w:hint="eastAsia" w:ascii="Times New Roman" w:hAnsi="Times New Roman"/>
        </w:rPr>
        <w:t>（同招标公告附件）</w:t>
      </w:r>
    </w:p>
    <w:p>
      <w:pPr>
        <w:rPr>
          <w:rFonts w:hint="eastAsia"/>
        </w:rPr>
      </w:pPr>
    </w:p>
    <w:p>
      <w:pPr>
        <w:pStyle w:val="8"/>
        <w:numPr>
          <w:ilvl w:val="0"/>
          <w:numId w:val="6"/>
        </w:numPr>
        <w:spacing w:before="20" w:after="0"/>
        <w:ind w:firstLine="137"/>
        <w:rPr>
          <w:rFonts w:hint="eastAsia" w:ascii="Times New Roman" w:hAnsi="Times New Roman"/>
          <w:lang w:val="en-US" w:eastAsia="zh-CN"/>
        </w:rPr>
      </w:pPr>
      <w:r>
        <w:rPr>
          <w:rFonts w:ascii="Times New Roman" w:hAnsi="Times New Roman"/>
        </w:rPr>
        <w:t>投标保证金</w:t>
      </w:r>
      <w:r>
        <w:rPr>
          <w:rFonts w:hint="eastAsia" w:ascii="Times New Roman" w:hAnsi="Times New Roman"/>
          <w:lang w:val="en-US" w:eastAsia="zh-CN"/>
        </w:rPr>
        <w:t>证明材料</w:t>
      </w:r>
    </w:p>
    <w:p>
      <w:pPr>
        <w:rPr>
          <w:rFonts w:hint="eastAsia"/>
          <w:lang w:val="en-US" w:eastAsia="zh-CN"/>
        </w:rPr>
      </w:pPr>
    </w:p>
    <w:p>
      <w:pPr>
        <w:pStyle w:val="8"/>
        <w:numPr>
          <w:ilvl w:val="0"/>
          <w:numId w:val="6"/>
        </w:numPr>
        <w:spacing w:before="20" w:after="0"/>
        <w:ind w:firstLine="137"/>
        <w:rPr>
          <w:rFonts w:hint="eastAsia" w:ascii="Times New Roman" w:hAnsi="Times New Roman" w:eastAsia="黑体"/>
          <w:lang w:val="en-US" w:eastAsia="zh-CN"/>
        </w:rPr>
      </w:pPr>
      <w:r>
        <w:rPr>
          <w:rFonts w:hint="eastAsia" w:ascii="Times New Roman" w:hAnsi="Times New Roman"/>
          <w:lang w:val="en-US" w:eastAsia="zh-CN"/>
        </w:rPr>
        <w:t>其他</w:t>
      </w:r>
    </w:p>
    <w:p>
      <w:pPr>
        <w:pStyle w:val="7"/>
        <w:spacing w:after="0"/>
        <w:jc w:val="both"/>
        <w:rPr>
          <w:rFonts w:hint="eastAsia"/>
        </w:rPr>
      </w:pPr>
      <w:bookmarkStart w:id="528" w:name="_Toc56856980"/>
      <w:r>
        <w:rPr>
          <w:rFonts w:hint="eastAsia"/>
          <w:lang w:val="en-US" w:eastAsia="zh-CN"/>
        </w:rPr>
        <w:t>六、</w:t>
      </w:r>
      <w:r>
        <w:rPr>
          <w:rFonts w:hint="eastAsia"/>
        </w:rPr>
        <w:t>药品运输</w:t>
      </w:r>
      <w:r>
        <w:rPr>
          <w:rFonts w:hint="eastAsia"/>
          <w:lang w:val="en-US" w:eastAsia="zh-CN"/>
        </w:rPr>
        <w:t>保障</w:t>
      </w:r>
      <w:bookmarkEnd w:id="525"/>
      <w:bookmarkEnd w:id="528"/>
      <w:bookmarkStart w:id="529" w:name="_Toc56856988"/>
      <w:bookmarkStart w:id="530" w:name="_Toc352703741"/>
      <w:bookmarkStart w:id="531" w:name="_Toc300835229"/>
    </w:p>
    <w:p>
      <w:pPr>
        <w:spacing w:after="0"/>
        <w:jc w:val="center"/>
        <w:rPr>
          <w:rFonts w:hint="eastAsia" w:ascii="Times New Roman" w:hAnsi="Times New Roman"/>
        </w:rPr>
      </w:pPr>
    </w:p>
    <w:p>
      <w:pPr>
        <w:pStyle w:val="7"/>
        <w:numPr>
          <w:ilvl w:val="0"/>
          <w:numId w:val="7"/>
        </w:numPr>
        <w:spacing w:after="0"/>
        <w:jc w:val="left"/>
        <w:rPr>
          <w:rFonts w:hint="eastAsia" w:ascii="Times New Roman" w:hAnsi="Times New Roman" w:cs="Times New Roman"/>
          <w:lang w:val="en-US" w:eastAsia="zh-CN"/>
        </w:rPr>
      </w:pPr>
      <w:r>
        <w:rPr>
          <w:rFonts w:hint="eastAsia" w:ascii="Times New Roman" w:hAnsi="Times New Roman" w:cs="Times New Roman"/>
          <w:lang w:val="en-US" w:eastAsia="zh-CN"/>
        </w:rPr>
        <w:t>项目实施方案（包括货源保障、配送组织计划、存储及运输保障、验收措施）</w:t>
      </w:r>
    </w:p>
    <w:p>
      <w:pPr>
        <w:spacing w:after="0"/>
        <w:jc w:val="left"/>
        <w:rPr>
          <w:rFonts w:hint="eastAsia"/>
          <w:lang w:val="en-US" w:eastAsia="zh-CN"/>
        </w:rPr>
      </w:pPr>
    </w:p>
    <w:p>
      <w:pPr>
        <w:pStyle w:val="7"/>
        <w:numPr>
          <w:ilvl w:val="0"/>
          <w:numId w:val="7"/>
        </w:numPr>
        <w:spacing w:after="0"/>
        <w:jc w:val="left"/>
        <w:rPr>
          <w:rFonts w:ascii="Times New Roman" w:hAnsi="Times New Roman"/>
        </w:rPr>
      </w:pPr>
      <w:r>
        <w:rPr>
          <w:rFonts w:hint="eastAsia" w:ascii="Times New Roman" w:hAnsi="Times New Roman"/>
        </w:rPr>
        <w:t>应急供货保障方案</w:t>
      </w:r>
    </w:p>
    <w:p>
      <w:pPr>
        <w:spacing w:after="0"/>
        <w:jc w:val="left"/>
        <w:rPr>
          <w:rFonts w:hint="eastAsia" w:ascii="Times New Roman" w:hAnsi="Times New Roman"/>
        </w:rPr>
      </w:pPr>
    </w:p>
    <w:p>
      <w:pPr>
        <w:pStyle w:val="7"/>
        <w:numPr>
          <w:ilvl w:val="0"/>
          <w:numId w:val="7"/>
        </w:numPr>
        <w:spacing w:after="0"/>
        <w:jc w:val="left"/>
        <w:rPr>
          <w:rFonts w:hint="eastAsia" w:ascii="Times New Roman" w:hAnsi="Times New Roman" w:cs="Times New Roman"/>
        </w:rPr>
      </w:pPr>
      <w:r>
        <w:rPr>
          <w:rFonts w:hint="eastAsia" w:ascii="Times New Roman" w:hAnsi="Times New Roman" w:eastAsia="黑体" w:cs="Times New Roman"/>
          <w:color w:val="auto"/>
          <w:sz w:val="32"/>
          <w:szCs w:val="20"/>
          <w:lang w:bidi="ar"/>
        </w:rPr>
        <w:t>产品质量</w:t>
      </w:r>
      <w:r>
        <w:rPr>
          <w:rFonts w:hint="eastAsia" w:ascii="Times New Roman" w:hAnsi="Times New Roman" w:eastAsia="黑体" w:cs="Times New Roman"/>
          <w:color w:val="auto"/>
          <w:sz w:val="32"/>
          <w:szCs w:val="20"/>
          <w:lang w:val="en-US" w:eastAsia="zh-CN" w:bidi="ar"/>
        </w:rPr>
        <w:t>说明</w:t>
      </w:r>
    </w:p>
    <w:p>
      <w:pPr>
        <w:pStyle w:val="7"/>
        <w:numPr>
          <w:ilvl w:val="0"/>
          <w:numId w:val="7"/>
        </w:numPr>
        <w:spacing w:after="0"/>
        <w:jc w:val="left"/>
        <w:rPr>
          <w:rFonts w:hint="eastAsia" w:ascii="Times New Roman" w:hAnsi="Times New Roman" w:cs="Times New Roman"/>
          <w:lang w:bidi="ar"/>
        </w:rPr>
      </w:pPr>
      <w:r>
        <w:rPr>
          <w:rFonts w:hint="eastAsia" w:ascii="Times New Roman" w:hAnsi="Times New Roman" w:cs="Times New Roman"/>
          <w:lang w:bidi="ar"/>
        </w:rPr>
        <w:t>投标人纳税信用等级</w:t>
      </w:r>
    </w:p>
    <w:p>
      <w:pPr>
        <w:spacing w:after="0"/>
        <w:jc w:val="left"/>
        <w:rPr>
          <w:rFonts w:hint="eastAsia" w:ascii="Times New Roman" w:hAnsi="Times New Roman" w:cs="Times New Roman"/>
          <w:lang w:bidi="ar"/>
        </w:rPr>
      </w:pPr>
    </w:p>
    <w:p>
      <w:pPr>
        <w:pStyle w:val="7"/>
        <w:numPr>
          <w:ilvl w:val="0"/>
          <w:numId w:val="7"/>
        </w:numPr>
        <w:spacing w:after="0"/>
        <w:jc w:val="left"/>
        <w:rPr>
          <w:rFonts w:hint="eastAsia" w:ascii="Times New Roman" w:hAnsi="Times New Roman" w:cs="Times New Roman"/>
          <w:lang w:bidi="ar"/>
        </w:rPr>
      </w:pPr>
      <w:r>
        <w:rPr>
          <w:rFonts w:hint="eastAsia" w:ascii="Times New Roman" w:hAnsi="Times New Roman" w:cs="Times New Roman"/>
          <w:lang w:bidi="ar"/>
        </w:rPr>
        <w:t>累计供货业绩</w:t>
      </w:r>
    </w:p>
    <w:p>
      <w:pPr>
        <w:pStyle w:val="7"/>
        <w:numPr>
          <w:ilvl w:val="0"/>
          <w:numId w:val="7"/>
        </w:numPr>
        <w:spacing w:after="0"/>
        <w:jc w:val="left"/>
        <w:rPr>
          <w:rFonts w:hint="eastAsia" w:ascii="Times New Roman" w:hAnsi="Times New Roman" w:eastAsia="黑体" w:cs="Times New Roman"/>
          <w:b/>
          <w:sz w:val="32"/>
          <w:szCs w:val="20"/>
          <w:lang w:bidi="ar"/>
        </w:rPr>
      </w:pPr>
      <w:r>
        <w:rPr>
          <w:rFonts w:hint="eastAsia" w:ascii="Times New Roman" w:hAnsi="Times New Roman" w:eastAsia="黑体" w:cs="Times New Roman"/>
          <w:b/>
          <w:sz w:val="32"/>
          <w:szCs w:val="20"/>
          <w:lang w:bidi="ar"/>
        </w:rPr>
        <w:t>同类项目业绩</w:t>
      </w:r>
    </w:p>
    <w:p>
      <w:pPr>
        <w:pStyle w:val="7"/>
        <w:numPr>
          <w:ilvl w:val="0"/>
          <w:numId w:val="7"/>
        </w:numPr>
        <w:spacing w:after="0"/>
        <w:jc w:val="left"/>
        <w:rPr>
          <w:rFonts w:hint="eastAsia" w:ascii="Times New Roman" w:hAnsi="Times New Roman" w:eastAsia="黑体" w:cs="Times New Roman"/>
          <w:b/>
          <w:sz w:val="32"/>
          <w:szCs w:val="20"/>
          <w:lang w:bidi="ar"/>
        </w:rPr>
      </w:pPr>
      <w:r>
        <w:rPr>
          <w:rFonts w:hint="eastAsia" w:ascii="Times New Roman" w:hAnsi="Times New Roman" w:eastAsia="黑体" w:cs="Times New Roman"/>
          <w:b/>
          <w:sz w:val="32"/>
          <w:szCs w:val="20"/>
          <w:lang w:bidi="ar"/>
        </w:rPr>
        <w:t>售后服务承诺（质保期、响应时间、节假日特殊安排等）</w:t>
      </w:r>
    </w:p>
    <w:p>
      <w:pPr>
        <w:pStyle w:val="7"/>
        <w:numPr>
          <w:ilvl w:val="0"/>
          <w:numId w:val="7"/>
        </w:numPr>
        <w:spacing w:after="0"/>
        <w:jc w:val="left"/>
        <w:rPr>
          <w:rFonts w:ascii="Times New Roman" w:hAnsi="Times New Roman"/>
        </w:rPr>
      </w:pPr>
      <w:r>
        <w:rPr>
          <w:rFonts w:hint="eastAsia" w:ascii="Times New Roman" w:hAnsi="Times New Roman"/>
        </w:rPr>
        <w:t>客户评价</w:t>
      </w:r>
    </w:p>
    <w:p>
      <w:pPr>
        <w:pStyle w:val="7"/>
        <w:numPr>
          <w:ilvl w:val="0"/>
          <w:numId w:val="7"/>
        </w:numPr>
        <w:spacing w:after="0"/>
        <w:jc w:val="left"/>
        <w:rPr>
          <w:rFonts w:ascii="Times New Roman" w:hAnsi="Times New Roman"/>
        </w:rPr>
      </w:pPr>
      <w:r>
        <w:rPr>
          <w:rFonts w:hint="eastAsia" w:ascii="Times New Roman" w:hAnsi="Times New Roman"/>
          <w:lang w:eastAsia="zh-CN"/>
        </w:rPr>
        <w:t>送货及时性</w:t>
      </w:r>
    </w:p>
    <w:p>
      <w:pPr>
        <w:pStyle w:val="7"/>
        <w:numPr>
          <w:ilvl w:val="0"/>
          <w:numId w:val="7"/>
        </w:numPr>
        <w:spacing w:after="0"/>
        <w:jc w:val="left"/>
        <w:rPr>
          <w:rFonts w:ascii="Times New Roman" w:hAnsi="Times New Roman"/>
        </w:rPr>
      </w:pPr>
      <w:r>
        <w:rPr>
          <w:rFonts w:ascii="Times New Roman" w:hAnsi="Times New Roman"/>
        </w:rPr>
        <w:t>其他资料</w:t>
      </w:r>
      <w:bookmarkEnd w:id="529"/>
    </w:p>
    <w:p>
      <w:pPr>
        <w:jc w:val="left"/>
        <w:rPr>
          <w:rFonts w:ascii="Times New Roman" w:hAnsi="Times New Roman"/>
        </w:rPr>
      </w:pPr>
      <w:r>
        <w:rPr>
          <w:rFonts w:hint="eastAsia" w:ascii="Times New Roman" w:hAnsi="Times New Roman"/>
        </w:rPr>
        <w:t>（投标人</w:t>
      </w:r>
      <w:r>
        <w:rPr>
          <w:rFonts w:ascii="Times New Roman" w:hAnsi="Times New Roman"/>
        </w:rPr>
        <w:t>根据实际情况自行提供）</w:t>
      </w:r>
    </w:p>
    <w:bookmarkEnd w:id="530"/>
    <w:bookmarkEnd w:id="531"/>
    <w:p>
      <w:pPr>
        <w:rPr>
          <w:rFonts w:ascii="Times New Roman" w:hAnsi="Times New Roman"/>
        </w:rPr>
      </w:pPr>
    </w:p>
    <w:bookmarkEnd w:id="445"/>
    <w:bookmarkEnd w:id="446"/>
    <w:bookmarkEnd w:id="447"/>
    <w:bookmarkEnd w:id="448"/>
    <w:bookmarkEnd w:id="449"/>
    <w:bookmarkEnd w:id="450"/>
    <w:bookmarkEnd w:id="451"/>
    <w:bookmarkEnd w:id="452"/>
    <w:bookmarkEnd w:id="453"/>
    <w:p>
      <w:pPr>
        <w:spacing w:line="440" w:lineRule="exact"/>
        <w:rPr>
          <w:rFonts w:ascii="Times New Roman" w:hAnsi="Times New Roman"/>
        </w:rPr>
      </w:pPr>
    </w:p>
    <w:sectPr>
      <w:headerReference r:id="rId4" w:type="default"/>
      <w:footerReference r:id="rId5" w:type="default"/>
      <w:type w:val="continuous"/>
      <w:pgSz w:w="11907" w:h="16840"/>
      <w:pgMar w:top="1440" w:right="1797" w:bottom="1440" w:left="1797"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5</w:t>
    </w:r>
    <w:r>
      <w:rPr>
        <w:lang w:val="zh-CN"/>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912719"/>
    </w:sdtPr>
    <w:sdtContent>
      <w:p>
        <w:pPr>
          <w:pStyle w:val="31"/>
          <w:jc w:val="center"/>
        </w:pPr>
        <w:r>
          <w:fldChar w:fldCharType="begin"/>
        </w:r>
        <w:r>
          <w:instrText xml:space="preserve">PAGE   \* MERGEFORMAT</w:instrText>
        </w:r>
        <w:r>
          <w:fldChar w:fldCharType="separate"/>
        </w:r>
        <w:r>
          <w:rPr>
            <w:lang w:val="zh-CN"/>
          </w:rPr>
          <w:t>56</w:t>
        </w:r>
        <w:r>
          <w:fldChar w:fldCharType="end"/>
        </w:r>
      </w:p>
    </w:sdtContent>
  </w:sdt>
  <w:p>
    <w:pPr>
      <w:pStyle w:val="6"/>
      <w:spacing w:line="14" w:lineRule="auto"/>
      <w:rPr>
        <w:sz w:val="2"/>
      </w:rP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FBD6B"/>
    <w:multiLevelType w:val="singleLevel"/>
    <w:tmpl w:val="9DBFBD6B"/>
    <w:lvl w:ilvl="0" w:tentative="0">
      <w:start w:val="11"/>
      <w:numFmt w:val="chineseCounting"/>
      <w:suff w:val="nothing"/>
      <w:lvlText w:val="（%1）"/>
      <w:lvlJc w:val="left"/>
      <w:rPr>
        <w:rFonts w:hint="eastAsia"/>
      </w:rPr>
    </w:lvl>
  </w:abstractNum>
  <w:abstractNum w:abstractNumId="1">
    <w:nsid w:val="AECCEF13"/>
    <w:multiLevelType w:val="singleLevel"/>
    <w:tmpl w:val="AECCEF13"/>
    <w:lvl w:ilvl="0" w:tentative="0">
      <w:start w:val="1"/>
      <w:numFmt w:val="decimal"/>
      <w:suff w:val="nothing"/>
      <w:lvlText w:val="%1、"/>
      <w:lvlJc w:val="left"/>
    </w:lvl>
  </w:abstractNum>
  <w:abstractNum w:abstractNumId="2">
    <w:nsid w:val="B7F2C573"/>
    <w:multiLevelType w:val="singleLevel"/>
    <w:tmpl w:val="B7F2C573"/>
    <w:lvl w:ilvl="0" w:tentative="0">
      <w:start w:val="1"/>
      <w:numFmt w:val="decimal"/>
      <w:suff w:val="nothing"/>
      <w:lvlText w:val="%1、"/>
      <w:lvlJc w:val="left"/>
    </w:lvl>
  </w:abstractNum>
  <w:abstractNum w:abstractNumId="3">
    <w:nsid w:val="B91E641E"/>
    <w:multiLevelType w:val="singleLevel"/>
    <w:tmpl w:val="B91E641E"/>
    <w:lvl w:ilvl="0" w:tentative="0">
      <w:start w:val="1"/>
      <w:numFmt w:val="decimal"/>
      <w:suff w:val="space"/>
      <w:lvlText w:val="%1."/>
      <w:lvlJc w:val="left"/>
    </w:lvl>
  </w:abstractNum>
  <w:abstractNum w:abstractNumId="4">
    <w:nsid w:val="CA5289FD"/>
    <w:multiLevelType w:val="singleLevel"/>
    <w:tmpl w:val="CA5289FD"/>
    <w:lvl w:ilvl="0" w:tentative="0">
      <w:start w:val="7"/>
      <w:numFmt w:val="chineseCounting"/>
      <w:suff w:val="nothing"/>
      <w:lvlText w:val="%1、"/>
      <w:lvlJc w:val="left"/>
      <w:rPr>
        <w:rFonts w:hint="eastAsia"/>
      </w:rPr>
    </w:lvl>
  </w:abstractNum>
  <w:abstractNum w:abstractNumId="5">
    <w:nsid w:val="4E42B6B1"/>
    <w:multiLevelType w:val="singleLevel"/>
    <w:tmpl w:val="4E42B6B1"/>
    <w:lvl w:ilvl="0" w:tentative="0">
      <w:start w:val="1"/>
      <w:numFmt w:val="decimal"/>
      <w:suff w:val="nothing"/>
      <w:lvlText w:val="%1、"/>
      <w:lvlJc w:val="left"/>
    </w:lvl>
  </w:abstractNum>
  <w:abstractNum w:abstractNumId="6">
    <w:nsid w:val="7C923823"/>
    <w:multiLevelType w:val="singleLevel"/>
    <w:tmpl w:val="7C923823"/>
    <w:lvl w:ilvl="0" w:tentative="0">
      <w:start w:val="1"/>
      <w:numFmt w:val="decimal"/>
      <w:suff w:val="nothing"/>
      <w:lvlText w:val="%1、"/>
      <w:lvlJc w:val="left"/>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2OGQ0OGQwYTY4NjRhNzE0ZjM2NzY2N2RkYTZkZjMifQ=="/>
  </w:docVars>
  <w:rsids>
    <w:rsidRoot w:val="00172A27"/>
    <w:rsid w:val="00002A60"/>
    <w:rsid w:val="00004603"/>
    <w:rsid w:val="00007319"/>
    <w:rsid w:val="000106AE"/>
    <w:rsid w:val="00012703"/>
    <w:rsid w:val="0001485E"/>
    <w:rsid w:val="00014DE4"/>
    <w:rsid w:val="00020140"/>
    <w:rsid w:val="00021BFE"/>
    <w:rsid w:val="000250D6"/>
    <w:rsid w:val="00025980"/>
    <w:rsid w:val="00025ACC"/>
    <w:rsid w:val="00026171"/>
    <w:rsid w:val="000316F2"/>
    <w:rsid w:val="00032762"/>
    <w:rsid w:val="000334CF"/>
    <w:rsid w:val="000351AE"/>
    <w:rsid w:val="00035C1B"/>
    <w:rsid w:val="00036642"/>
    <w:rsid w:val="00043778"/>
    <w:rsid w:val="00044049"/>
    <w:rsid w:val="00045555"/>
    <w:rsid w:val="0005229A"/>
    <w:rsid w:val="000530D1"/>
    <w:rsid w:val="00055BAD"/>
    <w:rsid w:val="00055F09"/>
    <w:rsid w:val="0006067C"/>
    <w:rsid w:val="00062AC6"/>
    <w:rsid w:val="00065A9E"/>
    <w:rsid w:val="000668F1"/>
    <w:rsid w:val="00067035"/>
    <w:rsid w:val="000752F3"/>
    <w:rsid w:val="00075B0D"/>
    <w:rsid w:val="0008132B"/>
    <w:rsid w:val="00081360"/>
    <w:rsid w:val="0008253E"/>
    <w:rsid w:val="00084830"/>
    <w:rsid w:val="000848F1"/>
    <w:rsid w:val="00087558"/>
    <w:rsid w:val="0008773E"/>
    <w:rsid w:val="0009240C"/>
    <w:rsid w:val="000943B0"/>
    <w:rsid w:val="00094C66"/>
    <w:rsid w:val="000A1AB2"/>
    <w:rsid w:val="000A287B"/>
    <w:rsid w:val="000A53DF"/>
    <w:rsid w:val="000A5C81"/>
    <w:rsid w:val="000A6577"/>
    <w:rsid w:val="000A76B3"/>
    <w:rsid w:val="000B65E2"/>
    <w:rsid w:val="000B676B"/>
    <w:rsid w:val="000C0018"/>
    <w:rsid w:val="000C1A4A"/>
    <w:rsid w:val="000C1A9B"/>
    <w:rsid w:val="000C2AB5"/>
    <w:rsid w:val="000C3B84"/>
    <w:rsid w:val="000C4323"/>
    <w:rsid w:val="000C45BF"/>
    <w:rsid w:val="000C4710"/>
    <w:rsid w:val="000C6D35"/>
    <w:rsid w:val="000D4336"/>
    <w:rsid w:val="000D49B4"/>
    <w:rsid w:val="000E08CB"/>
    <w:rsid w:val="000E4370"/>
    <w:rsid w:val="000E5673"/>
    <w:rsid w:val="000E6211"/>
    <w:rsid w:val="000E67D1"/>
    <w:rsid w:val="000E7256"/>
    <w:rsid w:val="000F2186"/>
    <w:rsid w:val="000F2A12"/>
    <w:rsid w:val="000F2ECC"/>
    <w:rsid w:val="000F3757"/>
    <w:rsid w:val="000F7A0C"/>
    <w:rsid w:val="001011FC"/>
    <w:rsid w:val="00102618"/>
    <w:rsid w:val="00102F0B"/>
    <w:rsid w:val="00105423"/>
    <w:rsid w:val="001119B6"/>
    <w:rsid w:val="00111BC8"/>
    <w:rsid w:val="00115124"/>
    <w:rsid w:val="001154FA"/>
    <w:rsid w:val="00117A4F"/>
    <w:rsid w:val="00117F0F"/>
    <w:rsid w:val="00120A52"/>
    <w:rsid w:val="001214A1"/>
    <w:rsid w:val="0012159B"/>
    <w:rsid w:val="00124337"/>
    <w:rsid w:val="0012552C"/>
    <w:rsid w:val="001271B9"/>
    <w:rsid w:val="00127D30"/>
    <w:rsid w:val="0013651D"/>
    <w:rsid w:val="00136F63"/>
    <w:rsid w:val="001373A8"/>
    <w:rsid w:val="0014098E"/>
    <w:rsid w:val="00141621"/>
    <w:rsid w:val="00145F56"/>
    <w:rsid w:val="001521AE"/>
    <w:rsid w:val="001530C6"/>
    <w:rsid w:val="00156875"/>
    <w:rsid w:val="00163567"/>
    <w:rsid w:val="00170389"/>
    <w:rsid w:val="00172A27"/>
    <w:rsid w:val="001735B4"/>
    <w:rsid w:val="00173888"/>
    <w:rsid w:val="001748A3"/>
    <w:rsid w:val="0018264B"/>
    <w:rsid w:val="00182B11"/>
    <w:rsid w:val="00183AEA"/>
    <w:rsid w:val="00183B4A"/>
    <w:rsid w:val="00183F73"/>
    <w:rsid w:val="00186361"/>
    <w:rsid w:val="00187146"/>
    <w:rsid w:val="00187990"/>
    <w:rsid w:val="00193C1D"/>
    <w:rsid w:val="00196762"/>
    <w:rsid w:val="001A093D"/>
    <w:rsid w:val="001A0C52"/>
    <w:rsid w:val="001A0CCF"/>
    <w:rsid w:val="001A2E05"/>
    <w:rsid w:val="001A4491"/>
    <w:rsid w:val="001A4684"/>
    <w:rsid w:val="001B1289"/>
    <w:rsid w:val="001B5478"/>
    <w:rsid w:val="001B6E57"/>
    <w:rsid w:val="001B7FEF"/>
    <w:rsid w:val="001C133B"/>
    <w:rsid w:val="001C30C7"/>
    <w:rsid w:val="001C4A39"/>
    <w:rsid w:val="001D01F5"/>
    <w:rsid w:val="001D02D7"/>
    <w:rsid w:val="001D033C"/>
    <w:rsid w:val="001D2616"/>
    <w:rsid w:val="001D30B6"/>
    <w:rsid w:val="001D3BE0"/>
    <w:rsid w:val="001E06F1"/>
    <w:rsid w:val="001E1433"/>
    <w:rsid w:val="001E64B7"/>
    <w:rsid w:val="001E7ACE"/>
    <w:rsid w:val="001F1B9C"/>
    <w:rsid w:val="001F2208"/>
    <w:rsid w:val="001F285E"/>
    <w:rsid w:val="001F2D26"/>
    <w:rsid w:val="001F4134"/>
    <w:rsid w:val="001F45EE"/>
    <w:rsid w:val="001F4850"/>
    <w:rsid w:val="00202D56"/>
    <w:rsid w:val="00204444"/>
    <w:rsid w:val="00204A5C"/>
    <w:rsid w:val="002063D8"/>
    <w:rsid w:val="00206FFA"/>
    <w:rsid w:val="00207A0B"/>
    <w:rsid w:val="00212A53"/>
    <w:rsid w:val="0021322F"/>
    <w:rsid w:val="00213B90"/>
    <w:rsid w:val="00214661"/>
    <w:rsid w:val="00215412"/>
    <w:rsid w:val="00215AF0"/>
    <w:rsid w:val="002229E2"/>
    <w:rsid w:val="00223889"/>
    <w:rsid w:val="0022434B"/>
    <w:rsid w:val="00230077"/>
    <w:rsid w:val="00233ADF"/>
    <w:rsid w:val="0023423F"/>
    <w:rsid w:val="002378B0"/>
    <w:rsid w:val="00237B0E"/>
    <w:rsid w:val="002430C2"/>
    <w:rsid w:val="00244449"/>
    <w:rsid w:val="002447E4"/>
    <w:rsid w:val="00244E70"/>
    <w:rsid w:val="0024656F"/>
    <w:rsid w:val="00250CB7"/>
    <w:rsid w:val="0025135E"/>
    <w:rsid w:val="00251A49"/>
    <w:rsid w:val="002521B3"/>
    <w:rsid w:val="0025341D"/>
    <w:rsid w:val="00253B41"/>
    <w:rsid w:val="0025460A"/>
    <w:rsid w:val="00254739"/>
    <w:rsid w:val="00255D0D"/>
    <w:rsid w:val="00260C77"/>
    <w:rsid w:val="00261352"/>
    <w:rsid w:val="00263F0B"/>
    <w:rsid w:val="00264036"/>
    <w:rsid w:val="0026441A"/>
    <w:rsid w:val="00264EB1"/>
    <w:rsid w:val="00276C71"/>
    <w:rsid w:val="00277DA1"/>
    <w:rsid w:val="002810C5"/>
    <w:rsid w:val="00281526"/>
    <w:rsid w:val="002821B2"/>
    <w:rsid w:val="00285406"/>
    <w:rsid w:val="002875E7"/>
    <w:rsid w:val="0029325F"/>
    <w:rsid w:val="00293DA3"/>
    <w:rsid w:val="002A0C76"/>
    <w:rsid w:val="002A552C"/>
    <w:rsid w:val="002A6569"/>
    <w:rsid w:val="002A65ED"/>
    <w:rsid w:val="002A74F3"/>
    <w:rsid w:val="002B2B5B"/>
    <w:rsid w:val="002B2F04"/>
    <w:rsid w:val="002C0C29"/>
    <w:rsid w:val="002C31DD"/>
    <w:rsid w:val="002C3CD8"/>
    <w:rsid w:val="002C7B9B"/>
    <w:rsid w:val="002D2B90"/>
    <w:rsid w:val="002D6F32"/>
    <w:rsid w:val="002D7996"/>
    <w:rsid w:val="002D7B78"/>
    <w:rsid w:val="002E1913"/>
    <w:rsid w:val="002E1C97"/>
    <w:rsid w:val="002E1DAC"/>
    <w:rsid w:val="002E6D05"/>
    <w:rsid w:val="002F077E"/>
    <w:rsid w:val="002F5210"/>
    <w:rsid w:val="002F72A0"/>
    <w:rsid w:val="00301FC8"/>
    <w:rsid w:val="00310F24"/>
    <w:rsid w:val="00311324"/>
    <w:rsid w:val="003122C4"/>
    <w:rsid w:val="0032031D"/>
    <w:rsid w:val="003214BA"/>
    <w:rsid w:val="00321647"/>
    <w:rsid w:val="00321989"/>
    <w:rsid w:val="00321A31"/>
    <w:rsid w:val="003243EC"/>
    <w:rsid w:val="003247CD"/>
    <w:rsid w:val="003279BD"/>
    <w:rsid w:val="00330AE9"/>
    <w:rsid w:val="00332D01"/>
    <w:rsid w:val="003362AD"/>
    <w:rsid w:val="00336D29"/>
    <w:rsid w:val="00337DE4"/>
    <w:rsid w:val="00342688"/>
    <w:rsid w:val="0034440E"/>
    <w:rsid w:val="00344FE2"/>
    <w:rsid w:val="00347899"/>
    <w:rsid w:val="003518D6"/>
    <w:rsid w:val="00354B7A"/>
    <w:rsid w:val="00357D15"/>
    <w:rsid w:val="00363966"/>
    <w:rsid w:val="00363B4A"/>
    <w:rsid w:val="00364943"/>
    <w:rsid w:val="00364C99"/>
    <w:rsid w:val="003701CE"/>
    <w:rsid w:val="003741B0"/>
    <w:rsid w:val="00375481"/>
    <w:rsid w:val="003766FB"/>
    <w:rsid w:val="00381EF1"/>
    <w:rsid w:val="0038240C"/>
    <w:rsid w:val="0038359A"/>
    <w:rsid w:val="0038499D"/>
    <w:rsid w:val="0038565B"/>
    <w:rsid w:val="003857F5"/>
    <w:rsid w:val="00386AA0"/>
    <w:rsid w:val="00387996"/>
    <w:rsid w:val="00391F03"/>
    <w:rsid w:val="0039407B"/>
    <w:rsid w:val="003A1390"/>
    <w:rsid w:val="003A1B13"/>
    <w:rsid w:val="003A2368"/>
    <w:rsid w:val="003A444D"/>
    <w:rsid w:val="003A5859"/>
    <w:rsid w:val="003A593E"/>
    <w:rsid w:val="003A6775"/>
    <w:rsid w:val="003B02F9"/>
    <w:rsid w:val="003B1B15"/>
    <w:rsid w:val="003B2287"/>
    <w:rsid w:val="003B5002"/>
    <w:rsid w:val="003B7565"/>
    <w:rsid w:val="003B784A"/>
    <w:rsid w:val="003C083C"/>
    <w:rsid w:val="003C0D7D"/>
    <w:rsid w:val="003C175E"/>
    <w:rsid w:val="003C3B81"/>
    <w:rsid w:val="003C4858"/>
    <w:rsid w:val="003C4945"/>
    <w:rsid w:val="003C5BB3"/>
    <w:rsid w:val="003C750E"/>
    <w:rsid w:val="003D1170"/>
    <w:rsid w:val="003D1B8E"/>
    <w:rsid w:val="003D2D72"/>
    <w:rsid w:val="003D36EE"/>
    <w:rsid w:val="003D402C"/>
    <w:rsid w:val="003D6797"/>
    <w:rsid w:val="003D6E0A"/>
    <w:rsid w:val="003E2C4E"/>
    <w:rsid w:val="003E3D18"/>
    <w:rsid w:val="003E56F5"/>
    <w:rsid w:val="003F1D72"/>
    <w:rsid w:val="003F3518"/>
    <w:rsid w:val="003F504F"/>
    <w:rsid w:val="003F5B69"/>
    <w:rsid w:val="00401EDF"/>
    <w:rsid w:val="00405168"/>
    <w:rsid w:val="00407ED9"/>
    <w:rsid w:val="004105EF"/>
    <w:rsid w:val="004147DA"/>
    <w:rsid w:val="00415A1A"/>
    <w:rsid w:val="00416E07"/>
    <w:rsid w:val="004204E7"/>
    <w:rsid w:val="0042326A"/>
    <w:rsid w:val="00423F96"/>
    <w:rsid w:val="00425DF7"/>
    <w:rsid w:val="00427408"/>
    <w:rsid w:val="00427C4D"/>
    <w:rsid w:val="00431F4F"/>
    <w:rsid w:val="00432518"/>
    <w:rsid w:val="0043351E"/>
    <w:rsid w:val="00433676"/>
    <w:rsid w:val="00436504"/>
    <w:rsid w:val="004405C7"/>
    <w:rsid w:val="00441D39"/>
    <w:rsid w:val="00442AF8"/>
    <w:rsid w:val="00442B41"/>
    <w:rsid w:val="0044514A"/>
    <w:rsid w:val="00447E59"/>
    <w:rsid w:val="00454B37"/>
    <w:rsid w:val="00454F84"/>
    <w:rsid w:val="00457DC2"/>
    <w:rsid w:val="00463001"/>
    <w:rsid w:val="00466339"/>
    <w:rsid w:val="004711E8"/>
    <w:rsid w:val="0047224E"/>
    <w:rsid w:val="004733D3"/>
    <w:rsid w:val="00476673"/>
    <w:rsid w:val="00476828"/>
    <w:rsid w:val="00487315"/>
    <w:rsid w:val="00490E43"/>
    <w:rsid w:val="00490F92"/>
    <w:rsid w:val="00491B85"/>
    <w:rsid w:val="00494530"/>
    <w:rsid w:val="00494624"/>
    <w:rsid w:val="00495001"/>
    <w:rsid w:val="004A0B92"/>
    <w:rsid w:val="004A112E"/>
    <w:rsid w:val="004A7159"/>
    <w:rsid w:val="004A76F2"/>
    <w:rsid w:val="004B08BB"/>
    <w:rsid w:val="004B51E3"/>
    <w:rsid w:val="004B6ED7"/>
    <w:rsid w:val="004D10EF"/>
    <w:rsid w:val="004D1209"/>
    <w:rsid w:val="004D1ADB"/>
    <w:rsid w:val="004D3DEA"/>
    <w:rsid w:val="004D422A"/>
    <w:rsid w:val="004D4247"/>
    <w:rsid w:val="004D7237"/>
    <w:rsid w:val="004D794D"/>
    <w:rsid w:val="004D7FCB"/>
    <w:rsid w:val="004E0C05"/>
    <w:rsid w:val="004E3473"/>
    <w:rsid w:val="004E5FCD"/>
    <w:rsid w:val="004E64C0"/>
    <w:rsid w:val="004F0052"/>
    <w:rsid w:val="004F1425"/>
    <w:rsid w:val="004F2BD3"/>
    <w:rsid w:val="004F3309"/>
    <w:rsid w:val="005034E3"/>
    <w:rsid w:val="00503D63"/>
    <w:rsid w:val="00506A2D"/>
    <w:rsid w:val="0050739A"/>
    <w:rsid w:val="005100DC"/>
    <w:rsid w:val="00511660"/>
    <w:rsid w:val="0051272A"/>
    <w:rsid w:val="00512A0D"/>
    <w:rsid w:val="00515BF3"/>
    <w:rsid w:val="00517CCE"/>
    <w:rsid w:val="0052293B"/>
    <w:rsid w:val="005229A0"/>
    <w:rsid w:val="00522D50"/>
    <w:rsid w:val="0052448D"/>
    <w:rsid w:val="00527D92"/>
    <w:rsid w:val="00531BAF"/>
    <w:rsid w:val="00533F95"/>
    <w:rsid w:val="00534E3B"/>
    <w:rsid w:val="00537781"/>
    <w:rsid w:val="00540380"/>
    <w:rsid w:val="005409DB"/>
    <w:rsid w:val="005410AB"/>
    <w:rsid w:val="00542C62"/>
    <w:rsid w:val="0054326D"/>
    <w:rsid w:val="00543F5F"/>
    <w:rsid w:val="00545698"/>
    <w:rsid w:val="00546149"/>
    <w:rsid w:val="005510C3"/>
    <w:rsid w:val="00553C2F"/>
    <w:rsid w:val="00555089"/>
    <w:rsid w:val="005560A2"/>
    <w:rsid w:val="005565F1"/>
    <w:rsid w:val="00557F61"/>
    <w:rsid w:val="00562259"/>
    <w:rsid w:val="005655BD"/>
    <w:rsid w:val="00572ADB"/>
    <w:rsid w:val="00572B38"/>
    <w:rsid w:val="00573B46"/>
    <w:rsid w:val="00573C8F"/>
    <w:rsid w:val="00576C5E"/>
    <w:rsid w:val="00577C17"/>
    <w:rsid w:val="00580957"/>
    <w:rsid w:val="005810CA"/>
    <w:rsid w:val="005824FB"/>
    <w:rsid w:val="005827A7"/>
    <w:rsid w:val="0058527F"/>
    <w:rsid w:val="00585B39"/>
    <w:rsid w:val="00586041"/>
    <w:rsid w:val="005865C5"/>
    <w:rsid w:val="00586955"/>
    <w:rsid w:val="0059030C"/>
    <w:rsid w:val="00592372"/>
    <w:rsid w:val="005955BA"/>
    <w:rsid w:val="005A07EB"/>
    <w:rsid w:val="005A0B59"/>
    <w:rsid w:val="005A245A"/>
    <w:rsid w:val="005A2C7B"/>
    <w:rsid w:val="005A328C"/>
    <w:rsid w:val="005A4B80"/>
    <w:rsid w:val="005A5F20"/>
    <w:rsid w:val="005A697C"/>
    <w:rsid w:val="005B0F9A"/>
    <w:rsid w:val="005B1A42"/>
    <w:rsid w:val="005B46BD"/>
    <w:rsid w:val="005B4DB1"/>
    <w:rsid w:val="005B6D33"/>
    <w:rsid w:val="005C1023"/>
    <w:rsid w:val="005C162E"/>
    <w:rsid w:val="005C1B19"/>
    <w:rsid w:val="005C417A"/>
    <w:rsid w:val="005C73AE"/>
    <w:rsid w:val="005C7507"/>
    <w:rsid w:val="005D22FC"/>
    <w:rsid w:val="005D3D41"/>
    <w:rsid w:val="005D736F"/>
    <w:rsid w:val="005D78DF"/>
    <w:rsid w:val="005E1FAD"/>
    <w:rsid w:val="005E4E13"/>
    <w:rsid w:val="005E4F70"/>
    <w:rsid w:val="005E7CE8"/>
    <w:rsid w:val="005F162E"/>
    <w:rsid w:val="005F16C3"/>
    <w:rsid w:val="005F328B"/>
    <w:rsid w:val="005F74F3"/>
    <w:rsid w:val="0060161F"/>
    <w:rsid w:val="00602D34"/>
    <w:rsid w:val="006038CA"/>
    <w:rsid w:val="00605A28"/>
    <w:rsid w:val="00614E98"/>
    <w:rsid w:val="00621D6C"/>
    <w:rsid w:val="0062261D"/>
    <w:rsid w:val="0062295C"/>
    <w:rsid w:val="00623AD2"/>
    <w:rsid w:val="0062437A"/>
    <w:rsid w:val="00624571"/>
    <w:rsid w:val="00630C45"/>
    <w:rsid w:val="00632467"/>
    <w:rsid w:val="00632B51"/>
    <w:rsid w:val="00633021"/>
    <w:rsid w:val="006345F8"/>
    <w:rsid w:val="00635BE7"/>
    <w:rsid w:val="00636962"/>
    <w:rsid w:val="00636B86"/>
    <w:rsid w:val="00644C71"/>
    <w:rsid w:val="006462FA"/>
    <w:rsid w:val="006514EB"/>
    <w:rsid w:val="00653BCA"/>
    <w:rsid w:val="00656C84"/>
    <w:rsid w:val="00660EBB"/>
    <w:rsid w:val="00663BF4"/>
    <w:rsid w:val="00663CC5"/>
    <w:rsid w:val="00670660"/>
    <w:rsid w:val="00680AC7"/>
    <w:rsid w:val="00684D69"/>
    <w:rsid w:val="006867B4"/>
    <w:rsid w:val="00686AF3"/>
    <w:rsid w:val="006924B3"/>
    <w:rsid w:val="006928F3"/>
    <w:rsid w:val="006952F5"/>
    <w:rsid w:val="006968EC"/>
    <w:rsid w:val="00696FBE"/>
    <w:rsid w:val="006A0258"/>
    <w:rsid w:val="006A1B2F"/>
    <w:rsid w:val="006A350C"/>
    <w:rsid w:val="006A38C8"/>
    <w:rsid w:val="006A3BC9"/>
    <w:rsid w:val="006A5596"/>
    <w:rsid w:val="006B0749"/>
    <w:rsid w:val="006B38E4"/>
    <w:rsid w:val="006B4620"/>
    <w:rsid w:val="006B6E3B"/>
    <w:rsid w:val="006C1B42"/>
    <w:rsid w:val="006C56C9"/>
    <w:rsid w:val="006C597B"/>
    <w:rsid w:val="006C735D"/>
    <w:rsid w:val="006D144F"/>
    <w:rsid w:val="006D2431"/>
    <w:rsid w:val="006D567B"/>
    <w:rsid w:val="006D72C7"/>
    <w:rsid w:val="006D72CF"/>
    <w:rsid w:val="006D7C98"/>
    <w:rsid w:val="006E01B4"/>
    <w:rsid w:val="006E04C8"/>
    <w:rsid w:val="006E0B76"/>
    <w:rsid w:val="006E0D78"/>
    <w:rsid w:val="006E1CF0"/>
    <w:rsid w:val="006E2EB3"/>
    <w:rsid w:val="006E3EAB"/>
    <w:rsid w:val="006E521B"/>
    <w:rsid w:val="006E798E"/>
    <w:rsid w:val="006E7C9F"/>
    <w:rsid w:val="006F30B4"/>
    <w:rsid w:val="006F3A43"/>
    <w:rsid w:val="006F3F8C"/>
    <w:rsid w:val="006F46C3"/>
    <w:rsid w:val="006F5383"/>
    <w:rsid w:val="006F6E12"/>
    <w:rsid w:val="006F713A"/>
    <w:rsid w:val="007009AA"/>
    <w:rsid w:val="00701A84"/>
    <w:rsid w:val="007026E3"/>
    <w:rsid w:val="007036C3"/>
    <w:rsid w:val="00705859"/>
    <w:rsid w:val="00706041"/>
    <w:rsid w:val="00710CAF"/>
    <w:rsid w:val="007123AF"/>
    <w:rsid w:val="00712A96"/>
    <w:rsid w:val="007169EC"/>
    <w:rsid w:val="00721056"/>
    <w:rsid w:val="00722501"/>
    <w:rsid w:val="00725C94"/>
    <w:rsid w:val="00726A6C"/>
    <w:rsid w:val="00726B23"/>
    <w:rsid w:val="00726DB7"/>
    <w:rsid w:val="0072786C"/>
    <w:rsid w:val="00727E29"/>
    <w:rsid w:val="00727F6F"/>
    <w:rsid w:val="00733083"/>
    <w:rsid w:val="007330A3"/>
    <w:rsid w:val="007357EB"/>
    <w:rsid w:val="00741C17"/>
    <w:rsid w:val="00741FC2"/>
    <w:rsid w:val="00742B21"/>
    <w:rsid w:val="00744517"/>
    <w:rsid w:val="00747254"/>
    <w:rsid w:val="0075010E"/>
    <w:rsid w:val="00750137"/>
    <w:rsid w:val="0075115C"/>
    <w:rsid w:val="007525B7"/>
    <w:rsid w:val="00752BB4"/>
    <w:rsid w:val="00755157"/>
    <w:rsid w:val="007552B0"/>
    <w:rsid w:val="007570BD"/>
    <w:rsid w:val="00757EBE"/>
    <w:rsid w:val="00764F21"/>
    <w:rsid w:val="00766147"/>
    <w:rsid w:val="00766DD4"/>
    <w:rsid w:val="007701F1"/>
    <w:rsid w:val="00770518"/>
    <w:rsid w:val="00772451"/>
    <w:rsid w:val="007724D2"/>
    <w:rsid w:val="00772E30"/>
    <w:rsid w:val="00773BBE"/>
    <w:rsid w:val="007769FC"/>
    <w:rsid w:val="00777FCF"/>
    <w:rsid w:val="00780470"/>
    <w:rsid w:val="007815CA"/>
    <w:rsid w:val="00790A94"/>
    <w:rsid w:val="007911B2"/>
    <w:rsid w:val="00793332"/>
    <w:rsid w:val="00797ACE"/>
    <w:rsid w:val="007A08F7"/>
    <w:rsid w:val="007A1E5B"/>
    <w:rsid w:val="007A36C9"/>
    <w:rsid w:val="007A5188"/>
    <w:rsid w:val="007A6512"/>
    <w:rsid w:val="007A6750"/>
    <w:rsid w:val="007A67FD"/>
    <w:rsid w:val="007B3D71"/>
    <w:rsid w:val="007B4322"/>
    <w:rsid w:val="007B5213"/>
    <w:rsid w:val="007B5482"/>
    <w:rsid w:val="007B5AE0"/>
    <w:rsid w:val="007B7DDF"/>
    <w:rsid w:val="007C047C"/>
    <w:rsid w:val="007C292F"/>
    <w:rsid w:val="007C3698"/>
    <w:rsid w:val="007C749A"/>
    <w:rsid w:val="007D07A2"/>
    <w:rsid w:val="007D16DC"/>
    <w:rsid w:val="007D447B"/>
    <w:rsid w:val="007D4C26"/>
    <w:rsid w:val="007D5CBB"/>
    <w:rsid w:val="007D6572"/>
    <w:rsid w:val="007D68EB"/>
    <w:rsid w:val="007E0563"/>
    <w:rsid w:val="007E3CD1"/>
    <w:rsid w:val="007E3E83"/>
    <w:rsid w:val="007E46AF"/>
    <w:rsid w:val="007E6590"/>
    <w:rsid w:val="007E78FD"/>
    <w:rsid w:val="007F33A5"/>
    <w:rsid w:val="007F5833"/>
    <w:rsid w:val="007F6A96"/>
    <w:rsid w:val="008016DA"/>
    <w:rsid w:val="00803D1B"/>
    <w:rsid w:val="00804854"/>
    <w:rsid w:val="00805D01"/>
    <w:rsid w:val="0081170A"/>
    <w:rsid w:val="008119E7"/>
    <w:rsid w:val="0081337C"/>
    <w:rsid w:val="00814ACE"/>
    <w:rsid w:val="008173B4"/>
    <w:rsid w:val="00817ED4"/>
    <w:rsid w:val="00822B05"/>
    <w:rsid w:val="00823971"/>
    <w:rsid w:val="00826534"/>
    <w:rsid w:val="00826C28"/>
    <w:rsid w:val="008331F8"/>
    <w:rsid w:val="00833E5B"/>
    <w:rsid w:val="0084108B"/>
    <w:rsid w:val="00842D0A"/>
    <w:rsid w:val="00844238"/>
    <w:rsid w:val="0084602F"/>
    <w:rsid w:val="00847755"/>
    <w:rsid w:val="00851BE0"/>
    <w:rsid w:val="00851FB3"/>
    <w:rsid w:val="0085267C"/>
    <w:rsid w:val="008535CC"/>
    <w:rsid w:val="008539F3"/>
    <w:rsid w:val="00854506"/>
    <w:rsid w:val="008567AE"/>
    <w:rsid w:val="008602E0"/>
    <w:rsid w:val="00860649"/>
    <w:rsid w:val="008625DD"/>
    <w:rsid w:val="008631FE"/>
    <w:rsid w:val="00865A18"/>
    <w:rsid w:val="00867C03"/>
    <w:rsid w:val="008702EF"/>
    <w:rsid w:val="008722BB"/>
    <w:rsid w:val="008736FF"/>
    <w:rsid w:val="00874DAC"/>
    <w:rsid w:val="00875C2E"/>
    <w:rsid w:val="00875D85"/>
    <w:rsid w:val="008767F5"/>
    <w:rsid w:val="00876D34"/>
    <w:rsid w:val="00877B50"/>
    <w:rsid w:val="00880C4E"/>
    <w:rsid w:val="008830BB"/>
    <w:rsid w:val="00884568"/>
    <w:rsid w:val="00886D39"/>
    <w:rsid w:val="0088733D"/>
    <w:rsid w:val="00892F87"/>
    <w:rsid w:val="008936E5"/>
    <w:rsid w:val="0089400B"/>
    <w:rsid w:val="008946EA"/>
    <w:rsid w:val="008A0C4A"/>
    <w:rsid w:val="008A1BB3"/>
    <w:rsid w:val="008A3781"/>
    <w:rsid w:val="008A4337"/>
    <w:rsid w:val="008A4F8A"/>
    <w:rsid w:val="008A6265"/>
    <w:rsid w:val="008B3314"/>
    <w:rsid w:val="008B4958"/>
    <w:rsid w:val="008B51D6"/>
    <w:rsid w:val="008C3849"/>
    <w:rsid w:val="008C3B4C"/>
    <w:rsid w:val="008C4D93"/>
    <w:rsid w:val="008D0EA5"/>
    <w:rsid w:val="008D1879"/>
    <w:rsid w:val="008D2A3E"/>
    <w:rsid w:val="008D2B4F"/>
    <w:rsid w:val="008D3603"/>
    <w:rsid w:val="008D6699"/>
    <w:rsid w:val="008E0053"/>
    <w:rsid w:val="008E0C18"/>
    <w:rsid w:val="008E1993"/>
    <w:rsid w:val="008E3AFC"/>
    <w:rsid w:val="008E4CFA"/>
    <w:rsid w:val="008E51E4"/>
    <w:rsid w:val="008E786A"/>
    <w:rsid w:val="008F2892"/>
    <w:rsid w:val="008F2DB6"/>
    <w:rsid w:val="008F54DE"/>
    <w:rsid w:val="008F6AF6"/>
    <w:rsid w:val="008F78BF"/>
    <w:rsid w:val="0090152F"/>
    <w:rsid w:val="00903CD3"/>
    <w:rsid w:val="00905AE6"/>
    <w:rsid w:val="009102B1"/>
    <w:rsid w:val="0091078E"/>
    <w:rsid w:val="009117AF"/>
    <w:rsid w:val="00913DA9"/>
    <w:rsid w:val="00915BD0"/>
    <w:rsid w:val="009165B6"/>
    <w:rsid w:val="0091764F"/>
    <w:rsid w:val="009177A1"/>
    <w:rsid w:val="00920216"/>
    <w:rsid w:val="00922D1D"/>
    <w:rsid w:val="009233CB"/>
    <w:rsid w:val="0092577B"/>
    <w:rsid w:val="00926831"/>
    <w:rsid w:val="00926EEB"/>
    <w:rsid w:val="00930D83"/>
    <w:rsid w:val="00935629"/>
    <w:rsid w:val="00937163"/>
    <w:rsid w:val="0093781A"/>
    <w:rsid w:val="00937BEB"/>
    <w:rsid w:val="00942FF5"/>
    <w:rsid w:val="00943B39"/>
    <w:rsid w:val="00943F58"/>
    <w:rsid w:val="0094443B"/>
    <w:rsid w:val="0094469F"/>
    <w:rsid w:val="00945ACD"/>
    <w:rsid w:val="0094784E"/>
    <w:rsid w:val="0094793B"/>
    <w:rsid w:val="00950FA6"/>
    <w:rsid w:val="00953D09"/>
    <w:rsid w:val="00956336"/>
    <w:rsid w:val="0096197F"/>
    <w:rsid w:val="00963644"/>
    <w:rsid w:val="009646AC"/>
    <w:rsid w:val="00964882"/>
    <w:rsid w:val="009678EF"/>
    <w:rsid w:val="00972737"/>
    <w:rsid w:val="00972D10"/>
    <w:rsid w:val="00975DA5"/>
    <w:rsid w:val="00976838"/>
    <w:rsid w:val="00976894"/>
    <w:rsid w:val="0098095B"/>
    <w:rsid w:val="00980D6B"/>
    <w:rsid w:val="00981293"/>
    <w:rsid w:val="009816BB"/>
    <w:rsid w:val="00984168"/>
    <w:rsid w:val="0098447C"/>
    <w:rsid w:val="0098473F"/>
    <w:rsid w:val="0098548A"/>
    <w:rsid w:val="009857A5"/>
    <w:rsid w:val="00986B3E"/>
    <w:rsid w:val="00987946"/>
    <w:rsid w:val="009914DB"/>
    <w:rsid w:val="009918EA"/>
    <w:rsid w:val="00993DD3"/>
    <w:rsid w:val="0099765D"/>
    <w:rsid w:val="009A0203"/>
    <w:rsid w:val="009A0FA1"/>
    <w:rsid w:val="009A21F7"/>
    <w:rsid w:val="009A6828"/>
    <w:rsid w:val="009B115E"/>
    <w:rsid w:val="009B4533"/>
    <w:rsid w:val="009B54E6"/>
    <w:rsid w:val="009B70B3"/>
    <w:rsid w:val="009B7209"/>
    <w:rsid w:val="009B7815"/>
    <w:rsid w:val="009C42F0"/>
    <w:rsid w:val="009C5D2B"/>
    <w:rsid w:val="009D0A6C"/>
    <w:rsid w:val="009D11EB"/>
    <w:rsid w:val="009E280D"/>
    <w:rsid w:val="009E42EB"/>
    <w:rsid w:val="009E589E"/>
    <w:rsid w:val="009E7319"/>
    <w:rsid w:val="009E77CE"/>
    <w:rsid w:val="009F1AC6"/>
    <w:rsid w:val="009F2027"/>
    <w:rsid w:val="009F3D52"/>
    <w:rsid w:val="009F46DE"/>
    <w:rsid w:val="009F54BB"/>
    <w:rsid w:val="009F7053"/>
    <w:rsid w:val="00A00218"/>
    <w:rsid w:val="00A00736"/>
    <w:rsid w:val="00A01041"/>
    <w:rsid w:val="00A013E6"/>
    <w:rsid w:val="00A02A24"/>
    <w:rsid w:val="00A059CF"/>
    <w:rsid w:val="00A0615C"/>
    <w:rsid w:val="00A06680"/>
    <w:rsid w:val="00A1079F"/>
    <w:rsid w:val="00A11B75"/>
    <w:rsid w:val="00A14161"/>
    <w:rsid w:val="00A1421E"/>
    <w:rsid w:val="00A161A9"/>
    <w:rsid w:val="00A170CD"/>
    <w:rsid w:val="00A17502"/>
    <w:rsid w:val="00A20C87"/>
    <w:rsid w:val="00A20E84"/>
    <w:rsid w:val="00A214E6"/>
    <w:rsid w:val="00A21E6F"/>
    <w:rsid w:val="00A2348C"/>
    <w:rsid w:val="00A236AA"/>
    <w:rsid w:val="00A239C4"/>
    <w:rsid w:val="00A24AE5"/>
    <w:rsid w:val="00A24C38"/>
    <w:rsid w:val="00A26203"/>
    <w:rsid w:val="00A27544"/>
    <w:rsid w:val="00A27AD2"/>
    <w:rsid w:val="00A31FBE"/>
    <w:rsid w:val="00A40177"/>
    <w:rsid w:val="00A40975"/>
    <w:rsid w:val="00A443E0"/>
    <w:rsid w:val="00A51B57"/>
    <w:rsid w:val="00A51D94"/>
    <w:rsid w:val="00A549E2"/>
    <w:rsid w:val="00A60D27"/>
    <w:rsid w:val="00A61259"/>
    <w:rsid w:val="00A63845"/>
    <w:rsid w:val="00A64CFB"/>
    <w:rsid w:val="00A660F9"/>
    <w:rsid w:val="00A7108D"/>
    <w:rsid w:val="00A71821"/>
    <w:rsid w:val="00A719A9"/>
    <w:rsid w:val="00A74B5E"/>
    <w:rsid w:val="00A75A0E"/>
    <w:rsid w:val="00A75AAB"/>
    <w:rsid w:val="00A75DE4"/>
    <w:rsid w:val="00A76613"/>
    <w:rsid w:val="00A77C2A"/>
    <w:rsid w:val="00A80C32"/>
    <w:rsid w:val="00A8150A"/>
    <w:rsid w:val="00A8366F"/>
    <w:rsid w:val="00A86BC1"/>
    <w:rsid w:val="00A871CE"/>
    <w:rsid w:val="00A8738F"/>
    <w:rsid w:val="00A909F4"/>
    <w:rsid w:val="00A90FFC"/>
    <w:rsid w:val="00A93CEE"/>
    <w:rsid w:val="00A93E41"/>
    <w:rsid w:val="00A94DA7"/>
    <w:rsid w:val="00A95DBF"/>
    <w:rsid w:val="00A97ECB"/>
    <w:rsid w:val="00AA77E6"/>
    <w:rsid w:val="00AA78EE"/>
    <w:rsid w:val="00AB22FD"/>
    <w:rsid w:val="00AB249C"/>
    <w:rsid w:val="00AB3141"/>
    <w:rsid w:val="00AB5EF7"/>
    <w:rsid w:val="00AB609D"/>
    <w:rsid w:val="00AB66B8"/>
    <w:rsid w:val="00AB6EDE"/>
    <w:rsid w:val="00AC12CA"/>
    <w:rsid w:val="00AC2268"/>
    <w:rsid w:val="00AC4A5A"/>
    <w:rsid w:val="00AC6253"/>
    <w:rsid w:val="00AD02D1"/>
    <w:rsid w:val="00AD1ED7"/>
    <w:rsid w:val="00AD2524"/>
    <w:rsid w:val="00AD5DE7"/>
    <w:rsid w:val="00AD75D8"/>
    <w:rsid w:val="00AD7CAC"/>
    <w:rsid w:val="00AD7DE4"/>
    <w:rsid w:val="00AE3D01"/>
    <w:rsid w:val="00AE4E52"/>
    <w:rsid w:val="00AE4FC4"/>
    <w:rsid w:val="00AE5260"/>
    <w:rsid w:val="00AE5CF7"/>
    <w:rsid w:val="00AE67B6"/>
    <w:rsid w:val="00AF08A4"/>
    <w:rsid w:val="00AF0D29"/>
    <w:rsid w:val="00AF3442"/>
    <w:rsid w:val="00AF49A0"/>
    <w:rsid w:val="00AF4C00"/>
    <w:rsid w:val="00AF5D13"/>
    <w:rsid w:val="00AF7CFA"/>
    <w:rsid w:val="00B00F9C"/>
    <w:rsid w:val="00B0423C"/>
    <w:rsid w:val="00B05EB7"/>
    <w:rsid w:val="00B0641E"/>
    <w:rsid w:val="00B07C93"/>
    <w:rsid w:val="00B11FE4"/>
    <w:rsid w:val="00B12AD7"/>
    <w:rsid w:val="00B13847"/>
    <w:rsid w:val="00B16A14"/>
    <w:rsid w:val="00B17226"/>
    <w:rsid w:val="00B1739F"/>
    <w:rsid w:val="00B20435"/>
    <w:rsid w:val="00B2193F"/>
    <w:rsid w:val="00B22D70"/>
    <w:rsid w:val="00B264EF"/>
    <w:rsid w:val="00B30AE3"/>
    <w:rsid w:val="00B32153"/>
    <w:rsid w:val="00B34169"/>
    <w:rsid w:val="00B36DBD"/>
    <w:rsid w:val="00B40AC5"/>
    <w:rsid w:val="00B40DB4"/>
    <w:rsid w:val="00B4266C"/>
    <w:rsid w:val="00B43529"/>
    <w:rsid w:val="00B45828"/>
    <w:rsid w:val="00B51807"/>
    <w:rsid w:val="00B51D11"/>
    <w:rsid w:val="00B52304"/>
    <w:rsid w:val="00B56846"/>
    <w:rsid w:val="00B568D1"/>
    <w:rsid w:val="00B56F9E"/>
    <w:rsid w:val="00B6040F"/>
    <w:rsid w:val="00B60576"/>
    <w:rsid w:val="00B60D18"/>
    <w:rsid w:val="00B70AB4"/>
    <w:rsid w:val="00B72567"/>
    <w:rsid w:val="00B82CF7"/>
    <w:rsid w:val="00B82E6C"/>
    <w:rsid w:val="00B83E5B"/>
    <w:rsid w:val="00B840FF"/>
    <w:rsid w:val="00B84A8B"/>
    <w:rsid w:val="00B850F5"/>
    <w:rsid w:val="00B8792A"/>
    <w:rsid w:val="00B87E1C"/>
    <w:rsid w:val="00B87E24"/>
    <w:rsid w:val="00B923D8"/>
    <w:rsid w:val="00B924CB"/>
    <w:rsid w:val="00B92FAE"/>
    <w:rsid w:val="00BA1742"/>
    <w:rsid w:val="00BA3C7D"/>
    <w:rsid w:val="00BA4A15"/>
    <w:rsid w:val="00BA6A1E"/>
    <w:rsid w:val="00BA779B"/>
    <w:rsid w:val="00BB1269"/>
    <w:rsid w:val="00BB14E3"/>
    <w:rsid w:val="00BB3C2E"/>
    <w:rsid w:val="00BB6955"/>
    <w:rsid w:val="00BC31D7"/>
    <w:rsid w:val="00BC32DD"/>
    <w:rsid w:val="00BC424B"/>
    <w:rsid w:val="00BC7BDB"/>
    <w:rsid w:val="00BC7F93"/>
    <w:rsid w:val="00BD0888"/>
    <w:rsid w:val="00BD16CC"/>
    <w:rsid w:val="00BD19B1"/>
    <w:rsid w:val="00BD2382"/>
    <w:rsid w:val="00BD38A7"/>
    <w:rsid w:val="00BD4CB1"/>
    <w:rsid w:val="00BD5685"/>
    <w:rsid w:val="00BD58EC"/>
    <w:rsid w:val="00BD6AE4"/>
    <w:rsid w:val="00BD6C5E"/>
    <w:rsid w:val="00BD7122"/>
    <w:rsid w:val="00BE1F7A"/>
    <w:rsid w:val="00BE3696"/>
    <w:rsid w:val="00BE52C6"/>
    <w:rsid w:val="00BF1EA6"/>
    <w:rsid w:val="00BF1F32"/>
    <w:rsid w:val="00BF4EBD"/>
    <w:rsid w:val="00BF5DC2"/>
    <w:rsid w:val="00BF7CA8"/>
    <w:rsid w:val="00C000E6"/>
    <w:rsid w:val="00C01E68"/>
    <w:rsid w:val="00C05538"/>
    <w:rsid w:val="00C10A53"/>
    <w:rsid w:val="00C11B1A"/>
    <w:rsid w:val="00C12A5B"/>
    <w:rsid w:val="00C136A3"/>
    <w:rsid w:val="00C13F58"/>
    <w:rsid w:val="00C1558A"/>
    <w:rsid w:val="00C16E65"/>
    <w:rsid w:val="00C22C0F"/>
    <w:rsid w:val="00C2467E"/>
    <w:rsid w:val="00C27656"/>
    <w:rsid w:val="00C31E4A"/>
    <w:rsid w:val="00C32C0D"/>
    <w:rsid w:val="00C3313D"/>
    <w:rsid w:val="00C33549"/>
    <w:rsid w:val="00C3572B"/>
    <w:rsid w:val="00C409F2"/>
    <w:rsid w:val="00C40EFF"/>
    <w:rsid w:val="00C41015"/>
    <w:rsid w:val="00C426BD"/>
    <w:rsid w:val="00C473A5"/>
    <w:rsid w:val="00C50F27"/>
    <w:rsid w:val="00C550BE"/>
    <w:rsid w:val="00C561A1"/>
    <w:rsid w:val="00C57185"/>
    <w:rsid w:val="00C60374"/>
    <w:rsid w:val="00C616D1"/>
    <w:rsid w:val="00C65F10"/>
    <w:rsid w:val="00C71195"/>
    <w:rsid w:val="00C74CE6"/>
    <w:rsid w:val="00C750F1"/>
    <w:rsid w:val="00C75D0D"/>
    <w:rsid w:val="00C77D07"/>
    <w:rsid w:val="00C8014F"/>
    <w:rsid w:val="00C81B27"/>
    <w:rsid w:val="00C82892"/>
    <w:rsid w:val="00C8459E"/>
    <w:rsid w:val="00C92AC2"/>
    <w:rsid w:val="00C9312C"/>
    <w:rsid w:val="00C97B27"/>
    <w:rsid w:val="00CA039A"/>
    <w:rsid w:val="00CA0BC9"/>
    <w:rsid w:val="00CA54D2"/>
    <w:rsid w:val="00CA686B"/>
    <w:rsid w:val="00CB2000"/>
    <w:rsid w:val="00CB2025"/>
    <w:rsid w:val="00CB48A6"/>
    <w:rsid w:val="00CB515A"/>
    <w:rsid w:val="00CB621C"/>
    <w:rsid w:val="00CB6493"/>
    <w:rsid w:val="00CB684E"/>
    <w:rsid w:val="00CC02F2"/>
    <w:rsid w:val="00CC395E"/>
    <w:rsid w:val="00CC4FDB"/>
    <w:rsid w:val="00CC69FA"/>
    <w:rsid w:val="00CC6B34"/>
    <w:rsid w:val="00CD09B4"/>
    <w:rsid w:val="00CD54AC"/>
    <w:rsid w:val="00CD6EE8"/>
    <w:rsid w:val="00CD737F"/>
    <w:rsid w:val="00CD7773"/>
    <w:rsid w:val="00CE2881"/>
    <w:rsid w:val="00CE5888"/>
    <w:rsid w:val="00CE691B"/>
    <w:rsid w:val="00CE78B9"/>
    <w:rsid w:val="00CF48A1"/>
    <w:rsid w:val="00CF5CD9"/>
    <w:rsid w:val="00CF67F1"/>
    <w:rsid w:val="00D01B3F"/>
    <w:rsid w:val="00D01E73"/>
    <w:rsid w:val="00D0314D"/>
    <w:rsid w:val="00D05F0E"/>
    <w:rsid w:val="00D13DA8"/>
    <w:rsid w:val="00D15E46"/>
    <w:rsid w:val="00D17A67"/>
    <w:rsid w:val="00D17D84"/>
    <w:rsid w:val="00D20184"/>
    <w:rsid w:val="00D2193C"/>
    <w:rsid w:val="00D24679"/>
    <w:rsid w:val="00D2665C"/>
    <w:rsid w:val="00D31A22"/>
    <w:rsid w:val="00D32CD6"/>
    <w:rsid w:val="00D34458"/>
    <w:rsid w:val="00D355AF"/>
    <w:rsid w:val="00D401C0"/>
    <w:rsid w:val="00D4185E"/>
    <w:rsid w:val="00D424F4"/>
    <w:rsid w:val="00D452EB"/>
    <w:rsid w:val="00D45542"/>
    <w:rsid w:val="00D5039B"/>
    <w:rsid w:val="00D51797"/>
    <w:rsid w:val="00D532E6"/>
    <w:rsid w:val="00D57F85"/>
    <w:rsid w:val="00D61E00"/>
    <w:rsid w:val="00D63B31"/>
    <w:rsid w:val="00D67D03"/>
    <w:rsid w:val="00D70B9C"/>
    <w:rsid w:val="00D71AF2"/>
    <w:rsid w:val="00D73671"/>
    <w:rsid w:val="00D74914"/>
    <w:rsid w:val="00D7651E"/>
    <w:rsid w:val="00D765FC"/>
    <w:rsid w:val="00D76693"/>
    <w:rsid w:val="00D76815"/>
    <w:rsid w:val="00D769EB"/>
    <w:rsid w:val="00D80CDC"/>
    <w:rsid w:val="00D8264B"/>
    <w:rsid w:val="00D8422D"/>
    <w:rsid w:val="00D879E6"/>
    <w:rsid w:val="00D9028D"/>
    <w:rsid w:val="00D90E2B"/>
    <w:rsid w:val="00D91F21"/>
    <w:rsid w:val="00D930A2"/>
    <w:rsid w:val="00D935CD"/>
    <w:rsid w:val="00D94273"/>
    <w:rsid w:val="00D944A0"/>
    <w:rsid w:val="00D946E9"/>
    <w:rsid w:val="00DA3144"/>
    <w:rsid w:val="00DA47F3"/>
    <w:rsid w:val="00DA7EB6"/>
    <w:rsid w:val="00DB05BA"/>
    <w:rsid w:val="00DB2502"/>
    <w:rsid w:val="00DB45CC"/>
    <w:rsid w:val="00DB69BF"/>
    <w:rsid w:val="00DB7E41"/>
    <w:rsid w:val="00DC1BF6"/>
    <w:rsid w:val="00DC32DB"/>
    <w:rsid w:val="00DC3A4D"/>
    <w:rsid w:val="00DC4022"/>
    <w:rsid w:val="00DC4FA6"/>
    <w:rsid w:val="00DC500F"/>
    <w:rsid w:val="00DC76AE"/>
    <w:rsid w:val="00DD06CD"/>
    <w:rsid w:val="00DD0798"/>
    <w:rsid w:val="00DD18DE"/>
    <w:rsid w:val="00DD1C6D"/>
    <w:rsid w:val="00DD230C"/>
    <w:rsid w:val="00DD2358"/>
    <w:rsid w:val="00DD4D0C"/>
    <w:rsid w:val="00DE0C34"/>
    <w:rsid w:val="00DE1004"/>
    <w:rsid w:val="00DE2DF3"/>
    <w:rsid w:val="00DE3AC6"/>
    <w:rsid w:val="00DE3B31"/>
    <w:rsid w:val="00DE7014"/>
    <w:rsid w:val="00DF465B"/>
    <w:rsid w:val="00DF5E3A"/>
    <w:rsid w:val="00E00B48"/>
    <w:rsid w:val="00E021F6"/>
    <w:rsid w:val="00E027C9"/>
    <w:rsid w:val="00E030EE"/>
    <w:rsid w:val="00E05423"/>
    <w:rsid w:val="00E0723B"/>
    <w:rsid w:val="00E101BC"/>
    <w:rsid w:val="00E108C3"/>
    <w:rsid w:val="00E11F03"/>
    <w:rsid w:val="00E120B9"/>
    <w:rsid w:val="00E13758"/>
    <w:rsid w:val="00E147A3"/>
    <w:rsid w:val="00E148F3"/>
    <w:rsid w:val="00E151DA"/>
    <w:rsid w:val="00E15382"/>
    <w:rsid w:val="00E20944"/>
    <w:rsid w:val="00E22006"/>
    <w:rsid w:val="00E238A2"/>
    <w:rsid w:val="00E23DCD"/>
    <w:rsid w:val="00E241C8"/>
    <w:rsid w:val="00E241E7"/>
    <w:rsid w:val="00E3243B"/>
    <w:rsid w:val="00E3298C"/>
    <w:rsid w:val="00E335D8"/>
    <w:rsid w:val="00E33707"/>
    <w:rsid w:val="00E33A55"/>
    <w:rsid w:val="00E34005"/>
    <w:rsid w:val="00E345D1"/>
    <w:rsid w:val="00E34DA9"/>
    <w:rsid w:val="00E413AB"/>
    <w:rsid w:val="00E43274"/>
    <w:rsid w:val="00E4665E"/>
    <w:rsid w:val="00E53466"/>
    <w:rsid w:val="00E53F38"/>
    <w:rsid w:val="00E563F7"/>
    <w:rsid w:val="00E57045"/>
    <w:rsid w:val="00E61008"/>
    <w:rsid w:val="00E64E71"/>
    <w:rsid w:val="00E70312"/>
    <w:rsid w:val="00E73E35"/>
    <w:rsid w:val="00E740D3"/>
    <w:rsid w:val="00E76D51"/>
    <w:rsid w:val="00E77801"/>
    <w:rsid w:val="00E807BA"/>
    <w:rsid w:val="00E80F7E"/>
    <w:rsid w:val="00E8164C"/>
    <w:rsid w:val="00E82B5F"/>
    <w:rsid w:val="00E879C9"/>
    <w:rsid w:val="00E907FF"/>
    <w:rsid w:val="00E90D94"/>
    <w:rsid w:val="00E93869"/>
    <w:rsid w:val="00E95194"/>
    <w:rsid w:val="00E96F65"/>
    <w:rsid w:val="00EA019B"/>
    <w:rsid w:val="00EA0F01"/>
    <w:rsid w:val="00EA1F0B"/>
    <w:rsid w:val="00EA26FB"/>
    <w:rsid w:val="00EA5BBB"/>
    <w:rsid w:val="00EA6CAB"/>
    <w:rsid w:val="00EB0D9F"/>
    <w:rsid w:val="00EB10A7"/>
    <w:rsid w:val="00EB2328"/>
    <w:rsid w:val="00EB4642"/>
    <w:rsid w:val="00EB48A2"/>
    <w:rsid w:val="00EB494C"/>
    <w:rsid w:val="00EB6DB2"/>
    <w:rsid w:val="00EB6DE7"/>
    <w:rsid w:val="00EB71F5"/>
    <w:rsid w:val="00EC2CE8"/>
    <w:rsid w:val="00EC6890"/>
    <w:rsid w:val="00EC6D64"/>
    <w:rsid w:val="00EC72A4"/>
    <w:rsid w:val="00ED2CF2"/>
    <w:rsid w:val="00ED4146"/>
    <w:rsid w:val="00ED45C8"/>
    <w:rsid w:val="00ED694A"/>
    <w:rsid w:val="00ED76D9"/>
    <w:rsid w:val="00EE23AA"/>
    <w:rsid w:val="00EE266B"/>
    <w:rsid w:val="00EE2825"/>
    <w:rsid w:val="00EE4722"/>
    <w:rsid w:val="00EE6EE3"/>
    <w:rsid w:val="00F02449"/>
    <w:rsid w:val="00F02ADC"/>
    <w:rsid w:val="00F038DA"/>
    <w:rsid w:val="00F060A4"/>
    <w:rsid w:val="00F06124"/>
    <w:rsid w:val="00F0623C"/>
    <w:rsid w:val="00F07523"/>
    <w:rsid w:val="00F10055"/>
    <w:rsid w:val="00F1326E"/>
    <w:rsid w:val="00F155B4"/>
    <w:rsid w:val="00F15D39"/>
    <w:rsid w:val="00F16B10"/>
    <w:rsid w:val="00F16E76"/>
    <w:rsid w:val="00F22898"/>
    <w:rsid w:val="00F231AB"/>
    <w:rsid w:val="00F24BB1"/>
    <w:rsid w:val="00F26054"/>
    <w:rsid w:val="00F27C44"/>
    <w:rsid w:val="00F304EE"/>
    <w:rsid w:val="00F3112E"/>
    <w:rsid w:val="00F31887"/>
    <w:rsid w:val="00F32CF5"/>
    <w:rsid w:val="00F35671"/>
    <w:rsid w:val="00F400C4"/>
    <w:rsid w:val="00F41E90"/>
    <w:rsid w:val="00F4710F"/>
    <w:rsid w:val="00F507C9"/>
    <w:rsid w:val="00F507EB"/>
    <w:rsid w:val="00F53A81"/>
    <w:rsid w:val="00F57D8D"/>
    <w:rsid w:val="00F60AAC"/>
    <w:rsid w:val="00F60E88"/>
    <w:rsid w:val="00F60F86"/>
    <w:rsid w:val="00F61654"/>
    <w:rsid w:val="00F617A5"/>
    <w:rsid w:val="00F61997"/>
    <w:rsid w:val="00F667DA"/>
    <w:rsid w:val="00F67288"/>
    <w:rsid w:val="00F7182B"/>
    <w:rsid w:val="00F7194D"/>
    <w:rsid w:val="00F73B29"/>
    <w:rsid w:val="00F757F6"/>
    <w:rsid w:val="00F7632F"/>
    <w:rsid w:val="00F8168D"/>
    <w:rsid w:val="00F823B7"/>
    <w:rsid w:val="00F82B69"/>
    <w:rsid w:val="00F86321"/>
    <w:rsid w:val="00F91143"/>
    <w:rsid w:val="00F91188"/>
    <w:rsid w:val="00F94555"/>
    <w:rsid w:val="00F9546C"/>
    <w:rsid w:val="00F96CF9"/>
    <w:rsid w:val="00F974A1"/>
    <w:rsid w:val="00F97B72"/>
    <w:rsid w:val="00FA10A8"/>
    <w:rsid w:val="00FA1427"/>
    <w:rsid w:val="00FA1505"/>
    <w:rsid w:val="00FA2C21"/>
    <w:rsid w:val="00FA45BA"/>
    <w:rsid w:val="00FA5296"/>
    <w:rsid w:val="00FA7C60"/>
    <w:rsid w:val="00FA7F8E"/>
    <w:rsid w:val="00FB1F93"/>
    <w:rsid w:val="00FB48DF"/>
    <w:rsid w:val="00FB5972"/>
    <w:rsid w:val="00FB632F"/>
    <w:rsid w:val="00FC3BAF"/>
    <w:rsid w:val="00FC3BE5"/>
    <w:rsid w:val="00FC56FC"/>
    <w:rsid w:val="00FC5824"/>
    <w:rsid w:val="00FC5AFE"/>
    <w:rsid w:val="00FC5D22"/>
    <w:rsid w:val="00FD01BA"/>
    <w:rsid w:val="00FD0CA5"/>
    <w:rsid w:val="00FD1E2E"/>
    <w:rsid w:val="00FD4012"/>
    <w:rsid w:val="00FE20F3"/>
    <w:rsid w:val="00FE4D45"/>
    <w:rsid w:val="00FE5412"/>
    <w:rsid w:val="00FE6874"/>
    <w:rsid w:val="00FF0084"/>
    <w:rsid w:val="00FF0E8C"/>
    <w:rsid w:val="00FF4F25"/>
    <w:rsid w:val="00FF5A7C"/>
    <w:rsid w:val="00FF6B57"/>
    <w:rsid w:val="025944F9"/>
    <w:rsid w:val="031A5C1E"/>
    <w:rsid w:val="03A22024"/>
    <w:rsid w:val="03B020C8"/>
    <w:rsid w:val="03CC053E"/>
    <w:rsid w:val="04864EB4"/>
    <w:rsid w:val="04D10807"/>
    <w:rsid w:val="050B6D23"/>
    <w:rsid w:val="057225E9"/>
    <w:rsid w:val="05CD3091"/>
    <w:rsid w:val="0654426F"/>
    <w:rsid w:val="06AE039A"/>
    <w:rsid w:val="071B07B5"/>
    <w:rsid w:val="07872D2C"/>
    <w:rsid w:val="07C92BF9"/>
    <w:rsid w:val="091D2275"/>
    <w:rsid w:val="09AF26AE"/>
    <w:rsid w:val="09B05875"/>
    <w:rsid w:val="09E1761A"/>
    <w:rsid w:val="0A2D3195"/>
    <w:rsid w:val="0AAC5952"/>
    <w:rsid w:val="0AC00CB3"/>
    <w:rsid w:val="0C423245"/>
    <w:rsid w:val="0D676472"/>
    <w:rsid w:val="0E9A6801"/>
    <w:rsid w:val="0EB563F5"/>
    <w:rsid w:val="0EF1789B"/>
    <w:rsid w:val="0EF746EC"/>
    <w:rsid w:val="0F4339DE"/>
    <w:rsid w:val="0FEA7A6C"/>
    <w:rsid w:val="10E76ABE"/>
    <w:rsid w:val="1143257A"/>
    <w:rsid w:val="117F768B"/>
    <w:rsid w:val="11A85C5C"/>
    <w:rsid w:val="11E44B84"/>
    <w:rsid w:val="13064FA5"/>
    <w:rsid w:val="1383642C"/>
    <w:rsid w:val="13E137F9"/>
    <w:rsid w:val="141A7F1B"/>
    <w:rsid w:val="14EE4551"/>
    <w:rsid w:val="151B6C2C"/>
    <w:rsid w:val="15262705"/>
    <w:rsid w:val="16B65213"/>
    <w:rsid w:val="19520625"/>
    <w:rsid w:val="19E40175"/>
    <w:rsid w:val="1C6957B5"/>
    <w:rsid w:val="1E1125CE"/>
    <w:rsid w:val="1E151F9E"/>
    <w:rsid w:val="1E9C6968"/>
    <w:rsid w:val="1ED97B3E"/>
    <w:rsid w:val="2000577F"/>
    <w:rsid w:val="20243BCC"/>
    <w:rsid w:val="20C444FE"/>
    <w:rsid w:val="20E713C0"/>
    <w:rsid w:val="21103D9D"/>
    <w:rsid w:val="22716539"/>
    <w:rsid w:val="235E1AF8"/>
    <w:rsid w:val="23CD0724"/>
    <w:rsid w:val="26797EDA"/>
    <w:rsid w:val="275766A4"/>
    <w:rsid w:val="29844DA6"/>
    <w:rsid w:val="2A540C9B"/>
    <w:rsid w:val="2AAD51E2"/>
    <w:rsid w:val="2B0D0F18"/>
    <w:rsid w:val="2BE97358"/>
    <w:rsid w:val="2C153E60"/>
    <w:rsid w:val="2C767AF1"/>
    <w:rsid w:val="2CB201D5"/>
    <w:rsid w:val="2D20172B"/>
    <w:rsid w:val="2D333EE4"/>
    <w:rsid w:val="2D907284"/>
    <w:rsid w:val="2F2427F9"/>
    <w:rsid w:val="2F2C6D71"/>
    <w:rsid w:val="30777594"/>
    <w:rsid w:val="30A27B7C"/>
    <w:rsid w:val="31472444"/>
    <w:rsid w:val="330E04D1"/>
    <w:rsid w:val="339600B7"/>
    <w:rsid w:val="33BE1CA0"/>
    <w:rsid w:val="33EC2F43"/>
    <w:rsid w:val="34371239"/>
    <w:rsid w:val="34987E49"/>
    <w:rsid w:val="35707600"/>
    <w:rsid w:val="3757680B"/>
    <w:rsid w:val="3779791A"/>
    <w:rsid w:val="37B46B6E"/>
    <w:rsid w:val="38B8666D"/>
    <w:rsid w:val="3A6D159F"/>
    <w:rsid w:val="3AF200FD"/>
    <w:rsid w:val="3B190726"/>
    <w:rsid w:val="3BAB52F7"/>
    <w:rsid w:val="3C037D75"/>
    <w:rsid w:val="3CCE53EE"/>
    <w:rsid w:val="3D6D009C"/>
    <w:rsid w:val="3D8708A0"/>
    <w:rsid w:val="3DCC2B73"/>
    <w:rsid w:val="3EE002FD"/>
    <w:rsid w:val="3F313897"/>
    <w:rsid w:val="3FE16A12"/>
    <w:rsid w:val="3FE171DB"/>
    <w:rsid w:val="3FF15E06"/>
    <w:rsid w:val="401A573A"/>
    <w:rsid w:val="40B95721"/>
    <w:rsid w:val="40D246E1"/>
    <w:rsid w:val="40EB6CE8"/>
    <w:rsid w:val="411B2BE7"/>
    <w:rsid w:val="4141261B"/>
    <w:rsid w:val="41E570B7"/>
    <w:rsid w:val="42A54A53"/>
    <w:rsid w:val="43234C5C"/>
    <w:rsid w:val="43BF36DC"/>
    <w:rsid w:val="43DA0BC1"/>
    <w:rsid w:val="43F81C45"/>
    <w:rsid w:val="43FF368C"/>
    <w:rsid w:val="44266B5B"/>
    <w:rsid w:val="448B58F1"/>
    <w:rsid w:val="449818E5"/>
    <w:rsid w:val="46BF6805"/>
    <w:rsid w:val="484D2E35"/>
    <w:rsid w:val="48542967"/>
    <w:rsid w:val="49505853"/>
    <w:rsid w:val="4A187736"/>
    <w:rsid w:val="4A326562"/>
    <w:rsid w:val="4A636540"/>
    <w:rsid w:val="4B59346C"/>
    <w:rsid w:val="4B690BEF"/>
    <w:rsid w:val="4BEA795E"/>
    <w:rsid w:val="4C4C2AB6"/>
    <w:rsid w:val="4CE37CC7"/>
    <w:rsid w:val="4CF60F3A"/>
    <w:rsid w:val="4D0258E3"/>
    <w:rsid w:val="4D8D4DB2"/>
    <w:rsid w:val="4DD44B07"/>
    <w:rsid w:val="4E586596"/>
    <w:rsid w:val="4E813E73"/>
    <w:rsid w:val="4F3A46A0"/>
    <w:rsid w:val="4F596220"/>
    <w:rsid w:val="4F6A7A9E"/>
    <w:rsid w:val="4F93342C"/>
    <w:rsid w:val="503009B9"/>
    <w:rsid w:val="50A041CA"/>
    <w:rsid w:val="50C61183"/>
    <w:rsid w:val="512F2784"/>
    <w:rsid w:val="515832CE"/>
    <w:rsid w:val="52963DDB"/>
    <w:rsid w:val="52A34ABF"/>
    <w:rsid w:val="52DD1DA8"/>
    <w:rsid w:val="54787F09"/>
    <w:rsid w:val="54B44F6B"/>
    <w:rsid w:val="54C60B12"/>
    <w:rsid w:val="54CB1280"/>
    <w:rsid w:val="553920BD"/>
    <w:rsid w:val="55997370"/>
    <w:rsid w:val="55AD3E07"/>
    <w:rsid w:val="55D271F7"/>
    <w:rsid w:val="561F12B3"/>
    <w:rsid w:val="568F5F57"/>
    <w:rsid w:val="57943641"/>
    <w:rsid w:val="57DC684C"/>
    <w:rsid w:val="593B1336"/>
    <w:rsid w:val="59FE0518"/>
    <w:rsid w:val="5A0C291C"/>
    <w:rsid w:val="5A6D216E"/>
    <w:rsid w:val="5A792ECE"/>
    <w:rsid w:val="5AC97A40"/>
    <w:rsid w:val="5ACC3AE7"/>
    <w:rsid w:val="5B9C58DF"/>
    <w:rsid w:val="5BE27269"/>
    <w:rsid w:val="5CB61AAF"/>
    <w:rsid w:val="5EB96439"/>
    <w:rsid w:val="5ED15FE9"/>
    <w:rsid w:val="5F927999"/>
    <w:rsid w:val="603406B9"/>
    <w:rsid w:val="605B6FE5"/>
    <w:rsid w:val="60F72DEA"/>
    <w:rsid w:val="61770461"/>
    <w:rsid w:val="62D636E5"/>
    <w:rsid w:val="62EC3C62"/>
    <w:rsid w:val="63115A7A"/>
    <w:rsid w:val="63BB70B5"/>
    <w:rsid w:val="64472F94"/>
    <w:rsid w:val="657B402C"/>
    <w:rsid w:val="65C17610"/>
    <w:rsid w:val="662F7363"/>
    <w:rsid w:val="66991D79"/>
    <w:rsid w:val="66C908C9"/>
    <w:rsid w:val="66F44750"/>
    <w:rsid w:val="67B06B39"/>
    <w:rsid w:val="69407D02"/>
    <w:rsid w:val="69550916"/>
    <w:rsid w:val="69AA2BB0"/>
    <w:rsid w:val="6C833EC9"/>
    <w:rsid w:val="6C9020F0"/>
    <w:rsid w:val="6CFA6CDB"/>
    <w:rsid w:val="6D111FCF"/>
    <w:rsid w:val="6D2B458A"/>
    <w:rsid w:val="6E5F4023"/>
    <w:rsid w:val="6F0D76B0"/>
    <w:rsid w:val="6F6D03D4"/>
    <w:rsid w:val="6FD117B5"/>
    <w:rsid w:val="6FF61BE1"/>
    <w:rsid w:val="707D659C"/>
    <w:rsid w:val="71436795"/>
    <w:rsid w:val="714B0D57"/>
    <w:rsid w:val="72B46330"/>
    <w:rsid w:val="72FD7E1C"/>
    <w:rsid w:val="73FA365C"/>
    <w:rsid w:val="743B5355"/>
    <w:rsid w:val="744F7410"/>
    <w:rsid w:val="74E1403C"/>
    <w:rsid w:val="74EF0832"/>
    <w:rsid w:val="74FA263C"/>
    <w:rsid w:val="754F6D9F"/>
    <w:rsid w:val="758F7BEE"/>
    <w:rsid w:val="75F424E1"/>
    <w:rsid w:val="76574468"/>
    <w:rsid w:val="76ED5718"/>
    <w:rsid w:val="774B5945"/>
    <w:rsid w:val="783255A8"/>
    <w:rsid w:val="78BE4504"/>
    <w:rsid w:val="79884EF0"/>
    <w:rsid w:val="79E93026"/>
    <w:rsid w:val="79FA5CB6"/>
    <w:rsid w:val="7AA86E00"/>
    <w:rsid w:val="7B0C6DFA"/>
    <w:rsid w:val="7B581DE1"/>
    <w:rsid w:val="7BF672F7"/>
    <w:rsid w:val="7C092C4E"/>
    <w:rsid w:val="7C2F3EC1"/>
    <w:rsid w:val="7CB6075A"/>
    <w:rsid w:val="7CE61710"/>
    <w:rsid w:val="7CE83073"/>
    <w:rsid w:val="7D213266"/>
    <w:rsid w:val="7D253364"/>
    <w:rsid w:val="7D8560EF"/>
    <w:rsid w:val="7DA11112"/>
    <w:rsid w:val="7DE53643"/>
    <w:rsid w:val="7E580057"/>
    <w:rsid w:val="7F0111EB"/>
    <w:rsid w:val="7F976EB8"/>
    <w:rsid w:val="7FD403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6"/>
    <w:qFormat/>
    <w:uiPriority w:val="0"/>
    <w:pPr>
      <w:keepNext/>
      <w:keepLines/>
      <w:spacing w:before="340" w:after="330" w:line="576" w:lineRule="auto"/>
    </w:pPr>
    <w:rPr>
      <w:rFonts w:ascii="Times New Roman" w:hAnsi="Times New Roman"/>
      <w:kern w:val="44"/>
      <w:sz w:val="44"/>
    </w:rPr>
  </w:style>
  <w:style w:type="paragraph" w:styleId="7">
    <w:name w:val="heading 2"/>
    <w:basedOn w:val="1"/>
    <w:next w:val="1"/>
    <w:link w:val="57"/>
    <w:qFormat/>
    <w:uiPriority w:val="0"/>
    <w:pPr>
      <w:keepNext/>
      <w:keepLines/>
      <w:spacing w:before="260" w:after="260" w:line="412" w:lineRule="auto"/>
      <w:outlineLvl w:val="1"/>
    </w:pPr>
    <w:rPr>
      <w:rFonts w:ascii="Arial" w:hAnsi="Arial" w:eastAsia="黑体"/>
      <w:b/>
      <w:sz w:val="32"/>
      <w:szCs w:val="20"/>
    </w:rPr>
  </w:style>
  <w:style w:type="paragraph" w:styleId="8">
    <w:name w:val="heading 3"/>
    <w:basedOn w:val="1"/>
    <w:next w:val="1"/>
    <w:link w:val="58"/>
    <w:qFormat/>
    <w:uiPriority w:val="0"/>
    <w:pPr>
      <w:keepNext/>
      <w:keepLines/>
      <w:spacing w:before="260" w:after="260" w:line="412" w:lineRule="auto"/>
      <w:ind w:firstLine="49" w:firstLineChars="49"/>
      <w:outlineLvl w:val="2"/>
    </w:pPr>
    <w:rPr>
      <w:rFonts w:ascii="黑体" w:eastAsia="黑体"/>
      <w:sz w:val="28"/>
      <w:szCs w:val="20"/>
    </w:rPr>
  </w:style>
  <w:style w:type="paragraph" w:styleId="9">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10">
    <w:name w:val="heading 5"/>
    <w:basedOn w:val="1"/>
    <w:next w:val="1"/>
    <w:link w:val="80"/>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11">
    <w:name w:val="heading 6"/>
    <w:basedOn w:val="1"/>
    <w:next w:val="1"/>
    <w:link w:val="6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2">
    <w:name w:val="heading 7"/>
    <w:basedOn w:val="1"/>
    <w:next w:val="1"/>
    <w:link w:val="61"/>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3">
    <w:name w:val="heading 8"/>
    <w:basedOn w:val="1"/>
    <w:next w:val="1"/>
    <w:link w:val="6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4">
    <w:name w:val="heading 9"/>
    <w:basedOn w:val="1"/>
    <w:next w:val="1"/>
    <w:link w:val="6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4">
    <w:name w:val="Title"/>
    <w:basedOn w:val="1"/>
    <w:link w:val="9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Body Text First Indent"/>
    <w:basedOn w:val="6"/>
    <w:link w:val="81"/>
    <w:qFormat/>
    <w:uiPriority w:val="0"/>
    <w:pPr>
      <w:spacing w:line="312" w:lineRule="auto"/>
      <w:ind w:firstLine="420"/>
    </w:pPr>
    <w:rPr>
      <w:szCs w:val="24"/>
    </w:rPr>
  </w:style>
  <w:style w:type="paragraph" w:styleId="6">
    <w:name w:val="Body Text"/>
    <w:basedOn w:val="1"/>
    <w:next w:val="1"/>
    <w:link w:val="86"/>
    <w:unhideWhenUsed/>
    <w:qFormat/>
    <w:uiPriority w:val="0"/>
    <w:pPr>
      <w:spacing w:after="120"/>
    </w:pPr>
    <w:rPr>
      <w:rFonts w:ascii="Times New Roman" w:hAnsi="Times New Roman"/>
      <w:szCs w:val="20"/>
    </w:rPr>
  </w:style>
  <w:style w:type="paragraph" w:styleId="15">
    <w:name w:val="toc 7"/>
    <w:basedOn w:val="1"/>
    <w:next w:val="1"/>
    <w:qFormat/>
    <w:uiPriority w:val="39"/>
    <w:pPr>
      <w:ind w:left="1200" w:leftChars="1200"/>
    </w:pPr>
  </w:style>
  <w:style w:type="paragraph" w:styleId="16">
    <w:name w:val="Normal Indent"/>
    <w:basedOn w:val="1"/>
    <w:qFormat/>
    <w:uiPriority w:val="0"/>
    <w:pPr>
      <w:ind w:firstLine="420"/>
    </w:pPr>
  </w:style>
  <w:style w:type="paragraph" w:styleId="17">
    <w:name w:val="caption"/>
    <w:basedOn w:val="1"/>
    <w:next w:val="1"/>
    <w:semiHidden/>
    <w:unhideWhenUsed/>
    <w:qFormat/>
    <w:uiPriority w:val="0"/>
    <w:rPr>
      <w:rFonts w:eastAsia="黑体" w:asciiTheme="majorHAnsi" w:hAnsiTheme="majorHAnsi" w:cstheme="majorBidi"/>
      <w:sz w:val="20"/>
      <w:szCs w:val="20"/>
    </w:rPr>
  </w:style>
  <w:style w:type="paragraph" w:styleId="18">
    <w:name w:val="Document Map"/>
    <w:basedOn w:val="1"/>
    <w:link w:val="69"/>
    <w:qFormat/>
    <w:uiPriority w:val="0"/>
    <w:rPr>
      <w:rFonts w:ascii="宋体" w:cs="宋体"/>
      <w:sz w:val="18"/>
      <w:szCs w:val="18"/>
    </w:rPr>
  </w:style>
  <w:style w:type="paragraph" w:styleId="19">
    <w:name w:val="annotation text"/>
    <w:basedOn w:val="1"/>
    <w:link w:val="67"/>
    <w:qFormat/>
    <w:uiPriority w:val="0"/>
    <w:pPr>
      <w:jc w:val="left"/>
    </w:pPr>
    <w:rPr>
      <w:rFonts w:ascii="Times New Roman" w:hAnsi="Times New Roman"/>
      <w:szCs w:val="20"/>
    </w:rPr>
  </w:style>
  <w:style w:type="paragraph" w:styleId="20">
    <w:name w:val="Body Text 3"/>
    <w:basedOn w:val="1"/>
    <w:link w:val="71"/>
    <w:qFormat/>
    <w:uiPriority w:val="0"/>
    <w:rPr>
      <w:rFonts w:ascii="宋体"/>
      <w:sz w:val="24"/>
      <w:szCs w:val="20"/>
    </w:rPr>
  </w:style>
  <w:style w:type="paragraph" w:styleId="21">
    <w:name w:val="Body Text Indent"/>
    <w:basedOn w:val="1"/>
    <w:next w:val="22"/>
    <w:link w:val="88"/>
    <w:qFormat/>
    <w:uiPriority w:val="0"/>
    <w:pPr>
      <w:spacing w:after="120"/>
      <w:ind w:left="420" w:leftChars="200"/>
    </w:pPr>
    <w:rPr>
      <w:rFonts w:ascii="Times New Roman" w:hAnsi="Times New Roman"/>
      <w:szCs w:val="20"/>
    </w:rPr>
  </w:style>
  <w:style w:type="paragraph" w:styleId="22">
    <w:name w:val="envelope return"/>
    <w:basedOn w:val="1"/>
    <w:unhideWhenUsed/>
    <w:qFormat/>
    <w:uiPriority w:val="99"/>
  </w:style>
  <w:style w:type="paragraph" w:styleId="23">
    <w:name w:val="Block Text"/>
    <w:basedOn w:val="1"/>
    <w:qFormat/>
    <w:uiPriority w:val="0"/>
    <w:pPr>
      <w:tabs>
        <w:tab w:val="left" w:pos="8364"/>
      </w:tabs>
      <w:snapToGrid w:val="0"/>
      <w:spacing w:line="240" w:lineRule="atLeast"/>
      <w:ind w:left="1260" w:right="-57"/>
    </w:pPr>
    <w:rPr>
      <w:rFonts w:ascii="宋体" w:hAnsi="Times New Roman"/>
      <w:color w:val="FF0000"/>
      <w:szCs w:val="24"/>
    </w:rPr>
  </w:style>
  <w:style w:type="paragraph" w:styleId="24">
    <w:name w:val="toc 5"/>
    <w:basedOn w:val="1"/>
    <w:next w:val="1"/>
    <w:qFormat/>
    <w:uiPriority w:val="39"/>
    <w:pPr>
      <w:ind w:left="800" w:leftChars="800"/>
    </w:pPr>
  </w:style>
  <w:style w:type="paragraph" w:styleId="25">
    <w:name w:val="toc 3"/>
    <w:basedOn w:val="1"/>
    <w:next w:val="1"/>
    <w:qFormat/>
    <w:uiPriority w:val="39"/>
    <w:pPr>
      <w:ind w:left="400" w:leftChars="400"/>
    </w:pPr>
  </w:style>
  <w:style w:type="paragraph" w:styleId="26">
    <w:name w:val="Plain Text"/>
    <w:basedOn w:val="1"/>
    <w:link w:val="102"/>
    <w:qFormat/>
    <w:uiPriority w:val="0"/>
    <w:rPr>
      <w:rFonts w:ascii="宋体"/>
    </w:rPr>
  </w:style>
  <w:style w:type="paragraph" w:styleId="27">
    <w:name w:val="toc 8"/>
    <w:basedOn w:val="1"/>
    <w:next w:val="1"/>
    <w:qFormat/>
    <w:uiPriority w:val="39"/>
    <w:pPr>
      <w:ind w:left="1400" w:leftChars="1400"/>
    </w:pPr>
  </w:style>
  <w:style w:type="paragraph" w:styleId="28">
    <w:name w:val="Date"/>
    <w:basedOn w:val="1"/>
    <w:next w:val="1"/>
    <w:link w:val="75"/>
    <w:qFormat/>
    <w:uiPriority w:val="0"/>
    <w:pPr>
      <w:ind w:left="2500" w:leftChars="2500"/>
    </w:pPr>
    <w:rPr>
      <w:rFonts w:ascii="Times New Roman" w:hAnsi="Times New Roman"/>
      <w:szCs w:val="20"/>
    </w:rPr>
  </w:style>
  <w:style w:type="paragraph" w:styleId="29">
    <w:name w:val="Body Text Indent 2"/>
    <w:basedOn w:val="1"/>
    <w:qFormat/>
    <w:uiPriority w:val="0"/>
    <w:pPr>
      <w:spacing w:after="120" w:line="480" w:lineRule="auto"/>
      <w:ind w:left="420" w:leftChars="200"/>
    </w:pPr>
    <w:rPr>
      <w:rFonts w:ascii="仿宋_GB2312" w:eastAsia="仿宋_GB2312"/>
      <w:b/>
      <w:sz w:val="32"/>
      <w:szCs w:val="32"/>
    </w:rPr>
  </w:style>
  <w:style w:type="paragraph" w:styleId="30">
    <w:name w:val="Balloon Text"/>
    <w:basedOn w:val="1"/>
    <w:link w:val="74"/>
    <w:qFormat/>
    <w:uiPriority w:val="0"/>
    <w:rPr>
      <w:rFonts w:ascii="Times New Roman" w:hAnsi="Times New Roman"/>
      <w:sz w:val="18"/>
      <w:szCs w:val="20"/>
    </w:rPr>
  </w:style>
  <w:style w:type="paragraph" w:styleId="31">
    <w:name w:val="footer"/>
    <w:basedOn w:val="1"/>
    <w:link w:val="70"/>
    <w:qFormat/>
    <w:uiPriority w:val="99"/>
    <w:pPr>
      <w:tabs>
        <w:tab w:val="center" w:pos="4153"/>
        <w:tab w:val="right" w:pos="8306"/>
      </w:tabs>
      <w:snapToGrid w:val="0"/>
      <w:jc w:val="left"/>
    </w:pPr>
    <w:rPr>
      <w:sz w:val="18"/>
    </w:rPr>
  </w:style>
  <w:style w:type="paragraph" w:styleId="32">
    <w:name w:val="header"/>
    <w:basedOn w:val="1"/>
    <w:link w:val="73"/>
    <w:qFormat/>
    <w:uiPriority w:val="0"/>
    <w:pPr>
      <w:tabs>
        <w:tab w:val="center" w:pos="4153"/>
        <w:tab w:val="right" w:pos="8306"/>
      </w:tabs>
      <w:snapToGrid w:val="0"/>
    </w:pPr>
    <w:rPr>
      <w:rFonts w:ascii="Times New Roman" w:hAnsi="Times New Roman"/>
      <w:sz w:val="18"/>
      <w:szCs w:val="20"/>
    </w:rPr>
  </w:style>
  <w:style w:type="paragraph" w:styleId="33">
    <w:name w:val="toc 1"/>
    <w:basedOn w:val="1"/>
    <w:next w:val="1"/>
    <w:qFormat/>
    <w:uiPriority w:val="39"/>
  </w:style>
  <w:style w:type="paragraph" w:styleId="34">
    <w:name w:val="toc 4"/>
    <w:basedOn w:val="1"/>
    <w:next w:val="1"/>
    <w:qFormat/>
    <w:uiPriority w:val="39"/>
    <w:pPr>
      <w:ind w:left="600" w:leftChars="600"/>
    </w:pPr>
  </w:style>
  <w:style w:type="paragraph" w:styleId="35">
    <w:name w:val="toc 6"/>
    <w:basedOn w:val="1"/>
    <w:next w:val="1"/>
    <w:qFormat/>
    <w:uiPriority w:val="39"/>
    <w:pPr>
      <w:ind w:left="1000" w:leftChars="1000"/>
    </w:pPr>
  </w:style>
  <w:style w:type="paragraph" w:styleId="36">
    <w:name w:val="Body Text Indent 3"/>
    <w:basedOn w:val="1"/>
    <w:link w:val="72"/>
    <w:qFormat/>
    <w:uiPriority w:val="0"/>
    <w:pPr>
      <w:spacing w:after="120"/>
      <w:ind w:left="200" w:leftChars="200"/>
    </w:pPr>
    <w:rPr>
      <w:sz w:val="16"/>
      <w:szCs w:val="16"/>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40">
    <w:name w:val="index 1"/>
    <w:basedOn w:val="1"/>
    <w:next w:val="1"/>
    <w:qFormat/>
    <w:uiPriority w:val="0"/>
    <w:pPr>
      <w:spacing w:line="220" w:lineRule="exact"/>
      <w:jc w:val="center"/>
    </w:pPr>
    <w:rPr>
      <w:rFonts w:ascii="仿宋_GB2312" w:hAnsi="Times New Roman" w:eastAsia="仿宋_GB2312"/>
      <w:szCs w:val="21"/>
    </w:rPr>
  </w:style>
  <w:style w:type="paragraph" w:styleId="41">
    <w:name w:val="annotation subject"/>
    <w:basedOn w:val="19"/>
    <w:next w:val="19"/>
    <w:link w:val="68"/>
    <w:qFormat/>
    <w:uiPriority w:val="0"/>
  </w:style>
  <w:style w:type="paragraph" w:styleId="42">
    <w:name w:val="Body Text First Indent 2"/>
    <w:basedOn w:val="21"/>
    <w:unhideWhenUsed/>
    <w:qFormat/>
    <w:uiPriority w:val="0"/>
    <w:pPr>
      <w:ind w:firstLine="420" w:firstLineChars="200"/>
    </w:p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000000"/>
      <w:u w:val="none"/>
    </w:rPr>
  </w:style>
  <w:style w:type="character" w:styleId="49">
    <w:name w:val="Emphasis"/>
    <w:basedOn w:val="45"/>
    <w:qFormat/>
    <w:uiPriority w:val="0"/>
    <w:rPr>
      <w:i/>
    </w:rPr>
  </w:style>
  <w:style w:type="character" w:styleId="50">
    <w:name w:val="Hyperlink"/>
    <w:qFormat/>
    <w:uiPriority w:val="99"/>
    <w:rPr>
      <w:color w:val="0000FF"/>
      <w:u w:val="single"/>
    </w:rPr>
  </w:style>
  <w:style w:type="character" w:styleId="51">
    <w:name w:val="HTML Code"/>
    <w:basedOn w:val="45"/>
    <w:semiHidden/>
    <w:unhideWhenUsed/>
    <w:qFormat/>
    <w:uiPriority w:val="0"/>
    <w:rPr>
      <w:rFonts w:ascii="Consolas" w:hAnsi="Consolas" w:eastAsia="Consolas" w:cs="Consolas"/>
      <w:color w:val="DD1144"/>
      <w:sz w:val="18"/>
      <w:szCs w:val="18"/>
      <w:bdr w:val="single" w:color="E1E1E8" w:sz="6" w:space="0"/>
      <w:shd w:val="clear" w:color="auto" w:fill="F7F7F9"/>
    </w:rPr>
  </w:style>
  <w:style w:type="character" w:styleId="52">
    <w:name w:val="annotation reference"/>
    <w:qFormat/>
    <w:uiPriority w:val="0"/>
    <w:rPr>
      <w:sz w:val="21"/>
    </w:rPr>
  </w:style>
  <w:style w:type="character" w:styleId="53">
    <w:name w:val="HTML Cite"/>
    <w:basedOn w:val="45"/>
    <w:semiHidden/>
    <w:unhideWhenUsed/>
    <w:qFormat/>
    <w:uiPriority w:val="0"/>
  </w:style>
  <w:style w:type="character" w:styleId="54">
    <w:name w:val="footnote reference"/>
    <w:qFormat/>
    <w:uiPriority w:val="0"/>
    <w:rPr>
      <w:vertAlign w:val="superscript"/>
    </w:rPr>
  </w:style>
  <w:style w:type="paragraph" w:customStyle="1" w:styleId="55">
    <w:name w:val="_Style 3"/>
    <w:basedOn w:val="1"/>
    <w:qFormat/>
    <w:uiPriority w:val="0"/>
    <w:rPr>
      <w:rFonts w:ascii="Calibri" w:hAnsi="Calibri"/>
      <w:szCs w:val="21"/>
    </w:rPr>
  </w:style>
  <w:style w:type="character" w:customStyle="1" w:styleId="56">
    <w:name w:val="标题 1 字符"/>
    <w:basedOn w:val="45"/>
    <w:link w:val="3"/>
    <w:qFormat/>
    <w:uiPriority w:val="0"/>
    <w:rPr>
      <w:rFonts w:eastAsia="宋体"/>
      <w:b/>
      <w:kern w:val="44"/>
      <w:sz w:val="44"/>
    </w:rPr>
  </w:style>
  <w:style w:type="character" w:customStyle="1" w:styleId="57">
    <w:name w:val="标题 2 字符"/>
    <w:basedOn w:val="45"/>
    <w:link w:val="7"/>
    <w:qFormat/>
    <w:uiPriority w:val="0"/>
    <w:rPr>
      <w:rFonts w:ascii="Arial" w:hAnsi="Arial" w:eastAsia="黑体"/>
      <w:b/>
      <w:kern w:val="2"/>
      <w:sz w:val="32"/>
    </w:rPr>
  </w:style>
  <w:style w:type="character" w:customStyle="1" w:styleId="58">
    <w:name w:val="标题 3 字符"/>
    <w:basedOn w:val="45"/>
    <w:link w:val="8"/>
    <w:qFormat/>
    <w:uiPriority w:val="0"/>
    <w:rPr>
      <w:rFonts w:ascii="黑体" w:hAnsi="Calibri" w:eastAsia="黑体"/>
      <w:kern w:val="2"/>
      <w:sz w:val="28"/>
    </w:rPr>
  </w:style>
  <w:style w:type="character" w:customStyle="1" w:styleId="59">
    <w:name w:val="标题 4 字符"/>
    <w:basedOn w:val="45"/>
    <w:link w:val="9"/>
    <w:qFormat/>
    <w:uiPriority w:val="0"/>
    <w:rPr>
      <w:rFonts w:ascii="Arial" w:hAnsi="Arial" w:eastAsia="黑体"/>
      <w:b/>
      <w:bCs/>
      <w:kern w:val="2"/>
      <w:sz w:val="28"/>
      <w:szCs w:val="28"/>
    </w:rPr>
  </w:style>
  <w:style w:type="character" w:customStyle="1" w:styleId="60">
    <w:name w:val="标题 6 字符"/>
    <w:basedOn w:val="45"/>
    <w:link w:val="11"/>
    <w:qFormat/>
    <w:uiPriority w:val="0"/>
    <w:rPr>
      <w:rFonts w:ascii="Arial" w:hAnsi="Arial" w:eastAsia="黑体"/>
      <w:b/>
      <w:bCs/>
      <w:sz w:val="24"/>
    </w:rPr>
  </w:style>
  <w:style w:type="character" w:customStyle="1" w:styleId="61">
    <w:name w:val="标题 7 字符"/>
    <w:basedOn w:val="45"/>
    <w:link w:val="12"/>
    <w:qFormat/>
    <w:uiPriority w:val="0"/>
    <w:rPr>
      <w:rFonts w:eastAsia="宋体"/>
      <w:b/>
      <w:bCs/>
      <w:sz w:val="24"/>
    </w:rPr>
  </w:style>
  <w:style w:type="character" w:customStyle="1" w:styleId="62">
    <w:name w:val="标题 8 字符"/>
    <w:basedOn w:val="45"/>
    <w:link w:val="13"/>
    <w:qFormat/>
    <w:uiPriority w:val="0"/>
    <w:rPr>
      <w:rFonts w:ascii="Arial" w:hAnsi="Arial" w:eastAsia="黑体"/>
      <w:sz w:val="24"/>
    </w:rPr>
  </w:style>
  <w:style w:type="character" w:customStyle="1" w:styleId="63">
    <w:name w:val="标题 9 字符"/>
    <w:basedOn w:val="45"/>
    <w:link w:val="14"/>
    <w:qFormat/>
    <w:uiPriority w:val="0"/>
    <w:rPr>
      <w:rFonts w:ascii="Arial" w:hAnsi="Arial" w:eastAsia="黑体"/>
      <w:sz w:val="21"/>
      <w:szCs w:val="21"/>
    </w:rPr>
  </w:style>
  <w:style w:type="character" w:customStyle="1" w:styleId="64">
    <w:name w:val="style_kwd"/>
    <w:basedOn w:val="45"/>
    <w:qFormat/>
    <w:uiPriority w:val="0"/>
  </w:style>
  <w:style w:type="character" w:customStyle="1" w:styleId="65">
    <w:name w:val="批注文字 Char1"/>
    <w:qFormat/>
    <w:uiPriority w:val="0"/>
    <w:rPr>
      <w:rFonts w:ascii="Times New Roman" w:hAnsi="Times New Roman" w:eastAsia="宋体" w:cs="Times New Roman"/>
      <w:sz w:val="20"/>
      <w:szCs w:val="20"/>
      <w:lang w:bidi="ar-SA"/>
    </w:rPr>
  </w:style>
  <w:style w:type="character" w:customStyle="1" w:styleId="66">
    <w:name w:val="Comment Text Char"/>
    <w:qFormat/>
    <w:uiPriority w:val="0"/>
  </w:style>
  <w:style w:type="character" w:customStyle="1" w:styleId="67">
    <w:name w:val="批注文字 字符"/>
    <w:basedOn w:val="45"/>
    <w:link w:val="19"/>
    <w:qFormat/>
    <w:uiPriority w:val="0"/>
    <w:rPr>
      <w:rFonts w:eastAsia="宋体"/>
      <w:kern w:val="2"/>
      <w:sz w:val="21"/>
    </w:rPr>
  </w:style>
  <w:style w:type="character" w:customStyle="1" w:styleId="68">
    <w:name w:val="批注主题 字符"/>
    <w:link w:val="41"/>
    <w:qFormat/>
    <w:uiPriority w:val="0"/>
    <w:rPr>
      <w:rFonts w:eastAsia="宋体"/>
      <w:kern w:val="2"/>
      <w:sz w:val="21"/>
    </w:rPr>
  </w:style>
  <w:style w:type="character" w:customStyle="1" w:styleId="69">
    <w:name w:val="文档结构图 字符"/>
    <w:link w:val="18"/>
    <w:qFormat/>
    <w:uiPriority w:val="0"/>
    <w:rPr>
      <w:rFonts w:ascii="宋体" w:hAnsi="Calibri" w:eastAsia="宋体" w:cs="宋体"/>
      <w:kern w:val="2"/>
      <w:sz w:val="18"/>
      <w:szCs w:val="18"/>
    </w:rPr>
  </w:style>
  <w:style w:type="character" w:customStyle="1" w:styleId="70">
    <w:name w:val="页脚 字符"/>
    <w:link w:val="31"/>
    <w:qFormat/>
    <w:uiPriority w:val="99"/>
    <w:rPr>
      <w:rFonts w:ascii="Calibri" w:hAnsi="Calibri" w:eastAsia="宋体"/>
      <w:kern w:val="2"/>
      <w:sz w:val="18"/>
      <w:szCs w:val="22"/>
    </w:rPr>
  </w:style>
  <w:style w:type="character" w:customStyle="1" w:styleId="71">
    <w:name w:val="正文文本 3 字符"/>
    <w:basedOn w:val="45"/>
    <w:link w:val="20"/>
    <w:qFormat/>
    <w:uiPriority w:val="0"/>
    <w:rPr>
      <w:rFonts w:ascii="宋体" w:hAnsi="Calibri" w:eastAsia="宋体"/>
      <w:kern w:val="2"/>
      <w:sz w:val="24"/>
    </w:rPr>
  </w:style>
  <w:style w:type="character" w:customStyle="1" w:styleId="72">
    <w:name w:val="正文文本缩进 3 字符"/>
    <w:basedOn w:val="45"/>
    <w:link w:val="36"/>
    <w:qFormat/>
    <w:uiPriority w:val="0"/>
    <w:rPr>
      <w:rFonts w:ascii="Calibri" w:hAnsi="Calibri" w:eastAsia="宋体"/>
      <w:kern w:val="2"/>
      <w:sz w:val="16"/>
      <w:szCs w:val="16"/>
    </w:rPr>
  </w:style>
  <w:style w:type="character" w:customStyle="1" w:styleId="73">
    <w:name w:val="页眉 字符"/>
    <w:link w:val="32"/>
    <w:qFormat/>
    <w:uiPriority w:val="0"/>
    <w:rPr>
      <w:rFonts w:eastAsia="宋体"/>
      <w:kern w:val="2"/>
      <w:sz w:val="18"/>
    </w:rPr>
  </w:style>
  <w:style w:type="character" w:customStyle="1" w:styleId="74">
    <w:name w:val="批注框文本 字符"/>
    <w:link w:val="30"/>
    <w:qFormat/>
    <w:uiPriority w:val="0"/>
    <w:rPr>
      <w:rFonts w:eastAsia="宋体"/>
      <w:kern w:val="2"/>
      <w:sz w:val="18"/>
    </w:rPr>
  </w:style>
  <w:style w:type="character" w:customStyle="1" w:styleId="75">
    <w:name w:val="日期 字符"/>
    <w:link w:val="28"/>
    <w:qFormat/>
    <w:uiPriority w:val="0"/>
    <w:rPr>
      <w:rFonts w:eastAsia="宋体"/>
      <w:kern w:val="2"/>
      <w:sz w:val="21"/>
    </w:rPr>
  </w:style>
  <w:style w:type="paragraph" w:customStyle="1" w:styleId="76">
    <w:name w:val="修订1"/>
    <w:qFormat/>
    <w:uiPriority w:val="0"/>
    <w:rPr>
      <w:rFonts w:ascii="Times New Roman" w:hAnsi="Times New Roman" w:eastAsia="宋体" w:cs="Times New Roman"/>
      <w:kern w:val="2"/>
      <w:sz w:val="21"/>
      <w:lang w:val="en-US" w:eastAsia="zh-CN" w:bidi="ar-SA"/>
    </w:rPr>
  </w:style>
  <w:style w:type="paragraph" w:customStyle="1" w:styleId="77">
    <w:name w:val="_Style 23"/>
    <w:basedOn w:val="1"/>
    <w:qFormat/>
    <w:uiPriority w:val="0"/>
    <w:pPr>
      <w:widowControl/>
      <w:spacing w:after="160" w:line="240" w:lineRule="exact"/>
      <w:jc w:val="left"/>
    </w:pPr>
  </w:style>
  <w:style w:type="paragraph" w:customStyle="1" w:styleId="78">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79">
    <w:name w:val="font161"/>
    <w:qFormat/>
    <w:uiPriority w:val="0"/>
    <w:rPr>
      <w:b/>
      <w:bCs/>
      <w:sz w:val="32"/>
      <w:szCs w:val="32"/>
    </w:rPr>
  </w:style>
  <w:style w:type="character" w:customStyle="1" w:styleId="80">
    <w:name w:val="标题 5 字符"/>
    <w:basedOn w:val="45"/>
    <w:link w:val="10"/>
    <w:semiHidden/>
    <w:qFormat/>
    <w:uiPriority w:val="9"/>
    <w:rPr>
      <w:rFonts w:eastAsia="宋体"/>
      <w:b/>
      <w:bCs/>
      <w:kern w:val="2"/>
      <w:sz w:val="28"/>
      <w:szCs w:val="28"/>
    </w:rPr>
  </w:style>
  <w:style w:type="character" w:customStyle="1" w:styleId="81">
    <w:name w:val="正文文本首行缩进 字符"/>
    <w:basedOn w:val="82"/>
    <w:link w:val="5"/>
    <w:qFormat/>
    <w:uiPriority w:val="0"/>
    <w:rPr>
      <w:rFonts w:eastAsia="宋体"/>
      <w:kern w:val="2"/>
      <w:sz w:val="21"/>
      <w:szCs w:val="24"/>
      <w:lang w:val="en-US" w:eastAsia="zh-CN" w:bidi="ar-SA"/>
    </w:rPr>
  </w:style>
  <w:style w:type="character" w:customStyle="1" w:styleId="82">
    <w:name w:val="正文文本 Char"/>
    <w:qFormat/>
    <w:uiPriority w:val="0"/>
    <w:rPr>
      <w:rFonts w:eastAsia="宋体"/>
      <w:kern w:val="2"/>
      <w:sz w:val="21"/>
      <w:szCs w:val="24"/>
      <w:lang w:val="en-US" w:eastAsia="zh-CN" w:bidi="ar-SA"/>
    </w:rPr>
  </w:style>
  <w:style w:type="paragraph" w:customStyle="1" w:styleId="83">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84">
    <w:name w:val="Char"/>
    <w:basedOn w:val="1"/>
    <w:qFormat/>
    <w:uiPriority w:val="0"/>
    <w:pPr>
      <w:widowControl/>
      <w:spacing w:after="160" w:line="240" w:lineRule="exact"/>
      <w:jc w:val="left"/>
    </w:pPr>
    <w:rPr>
      <w:rFonts w:ascii="Verdana" w:hAnsi="Verdana"/>
      <w:kern w:val="0"/>
      <w:sz w:val="20"/>
      <w:szCs w:val="20"/>
      <w:lang w:eastAsia="en-US"/>
    </w:rPr>
  </w:style>
  <w:style w:type="paragraph" w:styleId="85">
    <w:name w:val="List Paragraph"/>
    <w:basedOn w:val="1"/>
    <w:qFormat/>
    <w:uiPriority w:val="1"/>
    <w:pPr>
      <w:ind w:firstLine="420" w:firstLineChars="200"/>
    </w:pPr>
  </w:style>
  <w:style w:type="character" w:customStyle="1" w:styleId="86">
    <w:name w:val="正文文本 字符"/>
    <w:basedOn w:val="45"/>
    <w:link w:val="6"/>
    <w:qFormat/>
    <w:uiPriority w:val="0"/>
    <w:rPr>
      <w:rFonts w:eastAsia="宋体"/>
      <w:kern w:val="2"/>
      <w:sz w:val="21"/>
    </w:rPr>
  </w:style>
  <w:style w:type="character" w:customStyle="1" w:styleId="87">
    <w:name w:val="正文首行缩进 Char1"/>
    <w:basedOn w:val="86"/>
    <w:qFormat/>
    <w:uiPriority w:val="99"/>
    <w:rPr>
      <w:rFonts w:eastAsia="宋体"/>
      <w:kern w:val="2"/>
      <w:sz w:val="21"/>
    </w:rPr>
  </w:style>
  <w:style w:type="character" w:customStyle="1" w:styleId="88">
    <w:name w:val="正文文本缩进 字符"/>
    <w:basedOn w:val="45"/>
    <w:link w:val="21"/>
    <w:qFormat/>
    <w:uiPriority w:val="0"/>
    <w:rPr>
      <w:rFonts w:eastAsia="宋体"/>
      <w:kern w:val="2"/>
      <w:sz w:val="21"/>
    </w:rPr>
  </w:style>
  <w:style w:type="paragraph" w:customStyle="1" w:styleId="89">
    <w:name w:val="我的正文"/>
    <w:basedOn w:val="1"/>
    <w:qFormat/>
    <w:uiPriority w:val="0"/>
    <w:rPr>
      <w:rFonts w:ascii="宋体" w:hAnsi="宋体"/>
      <w:sz w:val="24"/>
      <w:szCs w:val="24"/>
    </w:rPr>
  </w:style>
  <w:style w:type="paragraph" w:customStyle="1" w:styleId="90">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sz w:val="28"/>
    </w:rPr>
  </w:style>
  <w:style w:type="paragraph" w:customStyle="1" w:styleId="91">
    <w:name w:val="样式2"/>
    <w:basedOn w:val="8"/>
    <w:qFormat/>
    <w:uiPriority w:val="0"/>
    <w:pPr>
      <w:spacing w:line="415" w:lineRule="auto"/>
      <w:ind w:firstLine="137"/>
    </w:pPr>
    <w:rPr>
      <w:rFonts w:hAnsi="Times New Roman"/>
      <w:bCs/>
      <w:i/>
      <w:szCs w:val="28"/>
    </w:rPr>
  </w:style>
  <w:style w:type="character" w:customStyle="1" w:styleId="92">
    <w:name w:val="标题 字符"/>
    <w:basedOn w:val="45"/>
    <w:link w:val="4"/>
    <w:qFormat/>
    <w:uiPriority w:val="0"/>
    <w:rPr>
      <w:rFonts w:ascii="Arial" w:hAnsi="Arial" w:eastAsia="宋体"/>
      <w:b/>
      <w:sz w:val="32"/>
    </w:rPr>
  </w:style>
  <w:style w:type="paragraph" w:customStyle="1" w:styleId="93">
    <w:name w:val="Char1"/>
    <w:basedOn w:val="1"/>
    <w:qFormat/>
    <w:uiPriority w:val="0"/>
    <w:pPr>
      <w:tabs>
        <w:tab w:val="left" w:pos="360"/>
      </w:tabs>
    </w:pPr>
    <w:rPr>
      <w:rFonts w:ascii="Times New Roman" w:hAnsi="Times New Roman"/>
      <w:sz w:val="24"/>
      <w:szCs w:val="20"/>
    </w:rPr>
  </w:style>
  <w:style w:type="paragraph" w:customStyle="1" w:styleId="94">
    <w:name w:val="修订11"/>
    <w:qFormat/>
    <w:uiPriority w:val="0"/>
    <w:rPr>
      <w:rFonts w:ascii="Times New Roman" w:hAnsi="Times New Roman" w:eastAsia="宋体" w:cs="Times New Roman"/>
      <w:kern w:val="2"/>
      <w:sz w:val="21"/>
      <w:szCs w:val="24"/>
      <w:lang w:val="en-US" w:eastAsia="zh-CN" w:bidi="ar-SA"/>
    </w:rPr>
  </w:style>
  <w:style w:type="paragraph" w:customStyle="1" w:styleId="95">
    <w:name w:val="样式1"/>
    <w:basedOn w:val="1"/>
    <w:next w:val="9"/>
    <w:qFormat/>
    <w:uiPriority w:val="0"/>
    <w:pPr>
      <w:spacing w:line="360" w:lineRule="auto"/>
      <w:ind w:firstLine="420" w:firstLineChars="200"/>
    </w:pPr>
    <w:rPr>
      <w:rFonts w:ascii="宋体" w:hAnsi="宋体"/>
      <w:szCs w:val="21"/>
    </w:rPr>
  </w:style>
  <w:style w:type="paragraph" w:customStyle="1" w:styleId="96">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7">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sz w:val="32"/>
    </w:rPr>
  </w:style>
  <w:style w:type="paragraph" w:customStyle="1" w:styleId="98">
    <w:name w:val="样式 标题 3 + (中文) 黑体 小四 非加粗 段前: 7.8 磅 段后: 0 磅 行距: 固定值 20 磅"/>
    <w:basedOn w:val="8"/>
    <w:qFormat/>
    <w:uiPriority w:val="0"/>
    <w:pPr>
      <w:spacing w:before="0" w:after="0" w:line="400" w:lineRule="exact"/>
      <w:ind w:firstLine="137"/>
    </w:pPr>
    <w:rPr>
      <w:rFonts w:hAnsi="Times New Roman" w:cs="宋体"/>
      <w:sz w:val="24"/>
    </w:rPr>
  </w:style>
  <w:style w:type="paragraph" w:customStyle="1" w:styleId="99">
    <w:name w:val="1"/>
    <w:basedOn w:val="1"/>
    <w:qFormat/>
    <w:uiPriority w:val="0"/>
    <w:rPr>
      <w:rFonts w:ascii="Times New Roman" w:hAnsi="Times New Roman"/>
      <w:szCs w:val="20"/>
    </w:r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修订2"/>
    <w:qFormat/>
    <w:uiPriority w:val="0"/>
    <w:rPr>
      <w:rFonts w:ascii="Times New Roman" w:hAnsi="Times New Roman" w:eastAsia="宋体" w:cs="Times New Roman"/>
      <w:kern w:val="2"/>
      <w:sz w:val="21"/>
      <w:szCs w:val="24"/>
      <w:lang w:val="en-US" w:eastAsia="zh-CN" w:bidi="ar-SA"/>
    </w:rPr>
  </w:style>
  <w:style w:type="character" w:customStyle="1" w:styleId="102">
    <w:name w:val="纯文本 字符"/>
    <w:link w:val="26"/>
    <w:qFormat/>
    <w:locked/>
    <w:uiPriority w:val="0"/>
    <w:rPr>
      <w:rFonts w:ascii="宋体" w:hAnsi="Calibri"/>
      <w:kern w:val="2"/>
      <w:sz w:val="21"/>
      <w:szCs w:val="22"/>
    </w:rPr>
  </w:style>
  <w:style w:type="character" w:customStyle="1" w:styleId="103">
    <w:name w:val="hover42"/>
    <w:basedOn w:val="45"/>
    <w:qFormat/>
    <w:uiPriority w:val="0"/>
  </w:style>
  <w:style w:type="character" w:customStyle="1" w:styleId="104">
    <w:name w:val="times"/>
    <w:basedOn w:val="45"/>
    <w:qFormat/>
    <w:uiPriority w:val="0"/>
    <w:rPr>
      <w:color w:val="CDCDCD"/>
      <w:bdr w:val="single" w:color="CDCDCD" w:sz="6" w:space="0"/>
      <w:shd w:val="clear" w:color="auto" w:fill="EFEFEF"/>
    </w:rPr>
  </w:style>
  <w:style w:type="character" w:customStyle="1" w:styleId="105">
    <w:name w:val="times1"/>
    <w:basedOn w:val="45"/>
    <w:qFormat/>
    <w:uiPriority w:val="0"/>
    <w:rPr>
      <w:color w:val="3399FF"/>
      <w:bdr w:val="single" w:color="D1EDF8" w:sz="6" w:space="0"/>
      <w:shd w:val="clear" w:color="auto" w:fill="EAF9FF"/>
    </w:rPr>
  </w:style>
  <w:style w:type="character" w:customStyle="1" w:styleId="106">
    <w:name w:val="hover41"/>
    <w:basedOn w:val="45"/>
    <w:qFormat/>
    <w:uiPriority w:val="0"/>
  </w:style>
  <w:style w:type="character" w:customStyle="1" w:styleId="107">
    <w:name w:val="批注文字 Char"/>
    <w:qFormat/>
    <w:uiPriority w:val="0"/>
    <w:rPr>
      <w:rFonts w:ascii="Times New Roman" w:hAnsi="Times New Roman"/>
      <w:szCs w:val="24"/>
    </w:rPr>
  </w:style>
  <w:style w:type="character" w:customStyle="1" w:styleId="108">
    <w:name w:val="标题 6 Char"/>
    <w:qFormat/>
    <w:uiPriority w:val="0"/>
    <w:rPr>
      <w:rFonts w:ascii="Arial" w:hAnsi="Arial" w:eastAsia="黑体"/>
      <w:b/>
      <w:bCs/>
      <w:sz w:val="24"/>
      <w:szCs w:val="24"/>
    </w:rPr>
  </w:style>
  <w:style w:type="character" w:customStyle="1" w:styleId="109">
    <w:name w:val="正文首行缩进 Char"/>
    <w:qFormat/>
    <w:uiPriority w:val="0"/>
    <w:rPr>
      <w:rFonts w:eastAsia="宋体"/>
      <w:szCs w:val="24"/>
    </w:rPr>
  </w:style>
  <w:style w:type="character" w:customStyle="1" w:styleId="110">
    <w:name w:val="正文文本 3 Char"/>
    <w:qFormat/>
    <w:uiPriority w:val="0"/>
    <w:rPr>
      <w:rFonts w:ascii="宋体"/>
      <w:kern w:val="2"/>
      <w:sz w:val="24"/>
    </w:rPr>
  </w:style>
  <w:style w:type="character" w:customStyle="1" w:styleId="111">
    <w:name w:val="fontstyle01"/>
    <w:qFormat/>
    <w:uiPriority w:val="0"/>
    <w:rPr>
      <w:rFonts w:hint="eastAsia" w:ascii="宋体" w:hAnsi="宋体" w:eastAsia="宋体"/>
      <w:color w:val="000000"/>
      <w:sz w:val="20"/>
      <w:szCs w:val="20"/>
    </w:rPr>
  </w:style>
  <w:style w:type="character" w:customStyle="1" w:styleId="112">
    <w:name w:val="标题 3 Char"/>
    <w:qFormat/>
    <w:uiPriority w:val="0"/>
    <w:rPr>
      <w:rFonts w:ascii="黑体" w:eastAsia="黑体"/>
      <w:kern w:val="2"/>
      <w:sz w:val="28"/>
    </w:rPr>
  </w:style>
  <w:style w:type="character" w:customStyle="1" w:styleId="113">
    <w:name w:val="标题 2 Char"/>
    <w:qFormat/>
    <w:uiPriority w:val="0"/>
    <w:rPr>
      <w:rFonts w:ascii="Arial" w:hAnsi="Arial" w:eastAsia="黑体"/>
      <w:b/>
      <w:kern w:val="2"/>
      <w:sz w:val="32"/>
    </w:rPr>
  </w:style>
  <w:style w:type="table" w:customStyle="1" w:styleId="11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15">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116">
    <w:name w:val="正文_0 Char"/>
    <w:link w:val="117"/>
    <w:qFormat/>
    <w:uiPriority w:val="0"/>
    <w:rPr>
      <w:sz w:val="21"/>
    </w:rPr>
  </w:style>
  <w:style w:type="paragraph" w:customStyle="1" w:styleId="117">
    <w:name w:val="正文_0"/>
    <w:link w:val="116"/>
    <w:qFormat/>
    <w:uiPriority w:val="0"/>
    <w:rPr>
      <w:rFonts w:ascii="Times New Roman" w:hAnsi="Times New Roman" w:eastAsia="宋体" w:cs="Times New Roman"/>
      <w:sz w:val="21"/>
      <w:lang w:val="en-US" w:eastAsia="zh-CN" w:bidi="ar-SA"/>
    </w:rPr>
  </w:style>
  <w:style w:type="paragraph" w:customStyle="1" w:styleId="118">
    <w:name w:val="格式2"/>
    <w:basedOn w:val="7"/>
    <w:qFormat/>
    <w:uiPriority w:val="0"/>
    <w:pPr>
      <w:autoSpaceDE w:val="0"/>
      <w:autoSpaceDN w:val="0"/>
      <w:adjustRightInd w:val="0"/>
      <w:spacing w:line="416" w:lineRule="atLeast"/>
      <w:textAlignment w:val="baseline"/>
    </w:pPr>
    <w:rPr>
      <w:rFonts w:ascii="黑体" w:hAnsi="Times New Roman"/>
      <w:kern w:val="0"/>
      <w:sz w:val="30"/>
    </w:rPr>
  </w:style>
  <w:style w:type="paragraph" w:customStyle="1" w:styleId="119">
    <w:name w:val="题注5"/>
    <w:basedOn w:val="1"/>
    <w:next w:val="17"/>
    <w:qFormat/>
    <w:uiPriority w:val="99"/>
    <w:pPr>
      <w:jc w:val="center"/>
    </w:pPr>
    <w:rPr>
      <w:rFonts w:ascii="Times New Roman" w:hAnsi="Times New Roman"/>
      <w:b/>
      <w:color w:val="000000"/>
      <w:sz w:val="24"/>
      <w:szCs w:val="21"/>
    </w:rPr>
  </w:style>
  <w:style w:type="paragraph" w:customStyle="1" w:styleId="120">
    <w:name w:val="题注4"/>
    <w:basedOn w:val="1"/>
    <w:next w:val="17"/>
    <w:qFormat/>
    <w:uiPriority w:val="99"/>
    <w:pPr>
      <w:ind w:left="-132" w:leftChars="-64" w:right="-105" w:rightChars="-50" w:hanging="2"/>
      <w:jc w:val="center"/>
    </w:pPr>
    <w:rPr>
      <w:rFonts w:ascii="Times New Roman" w:hAnsi="Times New Roman"/>
      <w:b/>
      <w:color w:val="FF0000"/>
      <w:szCs w:val="21"/>
      <w:lang w:val="en-GB"/>
    </w:rPr>
  </w:style>
  <w:style w:type="paragraph" w:customStyle="1" w:styleId="121">
    <w:name w:val="修订3"/>
    <w:hidden/>
    <w:semiHidden/>
    <w:qFormat/>
    <w:uiPriority w:val="99"/>
    <w:rPr>
      <w:rFonts w:ascii="Calibri" w:hAnsi="Calibri" w:eastAsia="宋体" w:cs="Times New Roman"/>
      <w:kern w:val="2"/>
      <w:sz w:val="21"/>
      <w:szCs w:val="22"/>
      <w:lang w:val="en-US" w:eastAsia="zh-CN" w:bidi="ar-SA"/>
    </w:rPr>
  </w:style>
  <w:style w:type="character" w:customStyle="1" w:styleId="122">
    <w:name w:val="jbox-icon"/>
    <w:basedOn w:val="45"/>
    <w:qFormat/>
    <w:uiPriority w:val="0"/>
  </w:style>
  <w:style w:type="character" w:customStyle="1" w:styleId="123">
    <w:name w:val="jbox-icon-none"/>
    <w:basedOn w:val="45"/>
    <w:qFormat/>
    <w:uiPriority w:val="0"/>
    <w:rPr>
      <w:vanish/>
    </w:rPr>
  </w:style>
  <w:style w:type="character" w:customStyle="1" w:styleId="124">
    <w:name w:val="jbox-icon-warning"/>
    <w:basedOn w:val="45"/>
    <w:qFormat/>
    <w:uiPriority w:val="0"/>
  </w:style>
  <w:style w:type="character" w:customStyle="1" w:styleId="125">
    <w:name w:val="first-child"/>
    <w:basedOn w:val="45"/>
    <w:qFormat/>
    <w:uiPriority w:val="0"/>
  </w:style>
  <w:style w:type="character" w:customStyle="1" w:styleId="126">
    <w:name w:val="jbox-icon-error"/>
    <w:basedOn w:val="45"/>
    <w:qFormat/>
    <w:uiPriority w:val="0"/>
  </w:style>
  <w:style w:type="character" w:customStyle="1" w:styleId="127">
    <w:name w:val="jbox-icon-info"/>
    <w:basedOn w:val="45"/>
    <w:qFormat/>
    <w:uiPriority w:val="0"/>
  </w:style>
  <w:style w:type="character" w:customStyle="1" w:styleId="128">
    <w:name w:val="jbox-icon-question"/>
    <w:basedOn w:val="45"/>
    <w:qFormat/>
    <w:uiPriority w:val="0"/>
  </w:style>
  <w:style w:type="character" w:customStyle="1" w:styleId="129">
    <w:name w:val="jbox-icon-success"/>
    <w:basedOn w:val="45"/>
    <w:qFormat/>
    <w:uiPriority w:val="0"/>
  </w:style>
  <w:style w:type="character" w:customStyle="1" w:styleId="130">
    <w:name w:val="jbox-icon-loading"/>
    <w:basedOn w:val="45"/>
    <w:qFormat/>
    <w:uiPriority w:val="0"/>
  </w:style>
  <w:style w:type="character" w:customStyle="1" w:styleId="131">
    <w:name w:val="layui-layer-tabnow"/>
    <w:basedOn w:val="45"/>
    <w:qFormat/>
    <w:uiPriority w:val="0"/>
    <w:rPr>
      <w:bdr w:val="single" w:color="CCCCCC" w:sz="6" w:space="0"/>
      <w:shd w:val="clear" w:color="auto" w:fill="FFFFFF"/>
    </w:rPr>
  </w:style>
  <w:style w:type="paragraph" w:customStyle="1" w:styleId="132">
    <w:name w:val="正文首行缩进 21"/>
    <w:basedOn w:val="21"/>
    <w:qFormat/>
    <w:uiPriority w:val="0"/>
    <w:pPr>
      <w:spacing w:beforeLines="50" w:after="0" w:line="360" w:lineRule="auto"/>
      <w:ind w:left="0" w:leftChars="0" w:firstLine="420" w:firstLineChars="200"/>
    </w:pPr>
    <w:rPr>
      <w:rFonts w:ascii="宋体" w:hAnsi="宋体"/>
      <w:color w:val="FF0000"/>
      <w:sz w:val="22"/>
      <w:szCs w:val="22"/>
    </w:rPr>
  </w:style>
  <w:style w:type="table" w:customStyle="1" w:styleId="133">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6">
    <w:name w:val="textcontents"/>
    <w:qFormat/>
    <w:uiPriority w:val="0"/>
  </w:style>
  <w:style w:type="character" w:customStyle="1" w:styleId="137">
    <w:name w:val="font41"/>
    <w:basedOn w:val="45"/>
    <w:qFormat/>
    <w:uiPriority w:val="0"/>
    <w:rPr>
      <w:rFonts w:hint="eastAsia" w:ascii="宋体" w:hAnsi="宋体" w:eastAsia="宋体" w:cs="宋体"/>
      <w:color w:val="000000"/>
      <w:sz w:val="22"/>
      <w:szCs w:val="22"/>
      <w:u w:val="none"/>
    </w:rPr>
  </w:style>
  <w:style w:type="character" w:customStyle="1" w:styleId="138">
    <w:name w:val="font21"/>
    <w:basedOn w:val="45"/>
    <w:qFormat/>
    <w:uiPriority w:val="0"/>
    <w:rPr>
      <w:rFonts w:hint="eastAsia" w:ascii="宋体" w:hAnsi="宋体" w:eastAsia="宋体" w:cs="宋体"/>
      <w:b/>
      <w:bCs/>
      <w:color w:val="000000"/>
      <w:sz w:val="22"/>
      <w:szCs w:val="22"/>
      <w:u w:val="none"/>
    </w:rPr>
  </w:style>
  <w:style w:type="character" w:customStyle="1" w:styleId="139">
    <w:name w:val="font61"/>
    <w:basedOn w:val="45"/>
    <w:qFormat/>
    <w:uiPriority w:val="0"/>
    <w:rPr>
      <w:rFonts w:hint="eastAsia" w:ascii="宋体" w:hAnsi="宋体" w:eastAsia="宋体" w:cs="宋体"/>
      <w:color w:val="000000"/>
      <w:sz w:val="20"/>
      <w:szCs w:val="20"/>
      <w:u w:val="none"/>
    </w:rPr>
  </w:style>
  <w:style w:type="character" w:customStyle="1" w:styleId="140">
    <w:name w:val="font71"/>
    <w:basedOn w:val="45"/>
    <w:qFormat/>
    <w:uiPriority w:val="0"/>
    <w:rPr>
      <w:rFonts w:hint="eastAsia" w:ascii="宋体" w:hAnsi="宋体" w:eastAsia="宋体" w:cs="宋体"/>
      <w:color w:val="FF0000"/>
      <w:sz w:val="22"/>
      <w:szCs w:val="22"/>
      <w:u w:val="none"/>
    </w:rPr>
  </w:style>
  <w:style w:type="character" w:customStyle="1" w:styleId="141">
    <w:name w:val="font11"/>
    <w:basedOn w:val="45"/>
    <w:qFormat/>
    <w:uiPriority w:val="0"/>
    <w:rPr>
      <w:rFonts w:hint="eastAsia" w:ascii="宋体" w:hAnsi="宋体" w:eastAsia="宋体" w:cs="宋体"/>
      <w:b/>
      <w:bCs/>
      <w:color w:val="000000"/>
      <w:sz w:val="18"/>
      <w:szCs w:val="18"/>
      <w:u w:val="none"/>
    </w:rPr>
  </w:style>
  <w:style w:type="paragraph" w:customStyle="1" w:styleId="14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BC0BB-4A99-46B5-80A4-F73188D215E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12127</Words>
  <Characters>13490</Characters>
  <Lines>318</Lines>
  <Paragraphs>132</Paragraphs>
  <TotalTime>0</TotalTime>
  <ScaleCrop>false</ScaleCrop>
  <LinksUpToDate>false</LinksUpToDate>
  <CharactersWithSpaces>14179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2023-08-02T11:59:00Z</dcterms:created>
  <dc:creator>袁静</dc:creator>
  <cp:lastModifiedBy>广咨国际-袁工</cp:lastModifiedBy>
  <cp:lastPrinted>2021-03-15T07:09:00Z</cp:lastPrinted>
  <dcterms:modified xsi:type="dcterms:W3CDTF">2026-03-18T09:09:52Z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1E1E942503CB4DB2B5362E08CECF0F0B</vt:lpwstr>
  </property>
  <property fmtid="{D5CDD505-2E9C-101B-9397-08002B2CF9AE}" pid="4" name="KSOTemplateDocerSaveRecord">
    <vt:lpwstr>eyJoZGlkIjoiOTI0ZGNkYjc1ZDhkMjBhYzk4YTI5OTNhZmE4NTVmMzgiLCJ1c2VySWQiOiIzODE4MTc4NjkifQ==</vt:lpwstr>
  </property>
</Properties>
</file>